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rFonts w:ascii="Calibri" w:hAnsi="Calibri" w:cs="Calibri" w:asciiTheme="minorHAnsi" w:cstheme="minorHAnsi" w:hAnsiTheme="minorHAnsi"/>
          <w:b/>
          <w:b/>
          <w:sz w:val="18"/>
          <w:szCs w:val="18"/>
        </w:rPr>
      </w:pPr>
      <w:r>
        <w:rPr>
          <w:rFonts w:cs="Calibri" w:cstheme="minorHAnsi" w:ascii="Calibri" w:hAnsi="Calibri"/>
          <w:b/>
          <w:sz w:val="18"/>
          <w:szCs w:val="18"/>
        </w:rPr>
      </w:r>
    </w:p>
    <w:p>
      <w:pPr>
        <w:pStyle w:val="Normal"/>
        <w:jc w:val="both"/>
        <w:rPr>
          <w:rFonts w:ascii="Calibri" w:hAnsi="Calibri" w:cs="Calibri" w:asciiTheme="minorHAnsi" w:cstheme="minorHAnsi" w:hAnsiTheme="minorHAnsi"/>
          <w:b/>
          <w:b/>
          <w:sz w:val="18"/>
          <w:szCs w:val="18"/>
        </w:rPr>
      </w:pPr>
      <w:r>
        <w:rPr>
          <w:rFonts w:cs="Calibri" w:cstheme="minorHAnsi" w:ascii="Calibri" w:hAnsi="Calibri"/>
          <w:b/>
          <w:sz w:val="18"/>
          <w:szCs w:val="18"/>
        </w:rPr>
      </w:r>
    </w:p>
    <w:p>
      <w:pPr>
        <w:pStyle w:val="Normal"/>
        <w:jc w:val="both"/>
        <w:rPr>
          <w:rFonts w:ascii="Calibri" w:hAnsi="Calibri" w:cs="Calibri" w:asciiTheme="minorHAnsi" w:cstheme="minorHAnsi" w:hAnsiTheme="minorHAnsi"/>
          <w:b/>
          <w:b/>
          <w:sz w:val="18"/>
          <w:szCs w:val="18"/>
        </w:rPr>
      </w:pPr>
      <w:r>
        <w:rPr>
          <w:rFonts w:cs="Calibri" w:cstheme="minorHAnsi" w:ascii="Calibri" w:hAnsi="Calibri"/>
          <w:b/>
          <w:sz w:val="18"/>
          <w:szCs w:val="18"/>
        </w:rPr>
      </w:r>
    </w:p>
    <w:p>
      <w:pPr>
        <w:pStyle w:val="Normal"/>
        <w:jc w:val="both"/>
        <w:rPr>
          <w:rFonts w:ascii="Calibri" w:hAnsi="Calibri" w:cs="Calibri" w:asciiTheme="minorHAnsi" w:cstheme="minorHAnsi" w:hAnsiTheme="minorHAnsi"/>
          <w:b/>
          <w:b/>
          <w:sz w:val="18"/>
          <w:szCs w:val="18"/>
        </w:rPr>
      </w:pPr>
      <w:r>
        <w:rPr>
          <w:rFonts w:cs="Calibri" w:cstheme="minorHAnsi" w:ascii="Calibri" w:hAnsi="Calibri"/>
          <w:b/>
          <w:sz w:val="18"/>
          <w:szCs w:val="18"/>
        </w:rPr>
      </w:r>
    </w:p>
    <w:p>
      <w:pPr>
        <w:pStyle w:val="Normal"/>
        <w:jc w:val="both"/>
        <w:rPr>
          <w:rFonts w:ascii="Calibri" w:hAnsi="Calibri" w:cs="Calibri" w:asciiTheme="minorHAnsi" w:cstheme="minorHAnsi" w:hAnsiTheme="minorHAnsi"/>
          <w:b/>
          <w:b/>
          <w:sz w:val="18"/>
          <w:szCs w:val="18"/>
        </w:rPr>
      </w:pPr>
      <w:r>
        <w:rPr>
          <w:rFonts w:cs="Calibri" w:cstheme="minorHAnsi" w:ascii="Calibri" w:hAnsi="Calibri"/>
          <w:b/>
          <w:sz w:val="18"/>
          <w:szCs w:val="18"/>
        </w:rPr>
      </w:r>
    </w:p>
    <w:p>
      <w:pPr>
        <w:pStyle w:val="Normal"/>
        <w:jc w:val="both"/>
        <w:rPr>
          <w:rFonts w:ascii="Calibri" w:hAnsi="Calibri" w:cs="Calibri" w:asciiTheme="minorHAnsi" w:cstheme="minorHAnsi" w:hAnsiTheme="minorHAnsi"/>
          <w:b/>
          <w:b/>
          <w:sz w:val="18"/>
          <w:szCs w:val="18"/>
        </w:rPr>
      </w:pPr>
      <w:r>
        <w:rPr>
          <w:rFonts w:cs="Calibri" w:cstheme="minorHAnsi" w:ascii="Calibri" w:hAnsi="Calibri"/>
          <w:b/>
          <w:sz w:val="18"/>
          <w:szCs w:val="18"/>
        </w:rPr>
      </w:r>
    </w:p>
    <w:p>
      <w:pPr>
        <w:pStyle w:val="Normal"/>
        <w:jc w:val="both"/>
        <w:rPr>
          <w:rFonts w:ascii="Calibri" w:hAnsi="Calibri" w:cs="Calibri" w:asciiTheme="minorHAnsi" w:cstheme="minorHAnsi" w:hAnsiTheme="minorHAnsi"/>
          <w:b/>
          <w:b/>
          <w:sz w:val="18"/>
          <w:szCs w:val="18"/>
        </w:rPr>
      </w:pPr>
      <w:r>
        <w:rPr>
          <w:rFonts w:cs="Calibri" w:cstheme="minorHAnsi" w:ascii="Calibri" w:hAnsi="Calibri"/>
          <w:b/>
          <w:sz w:val="18"/>
          <w:szCs w:val="18"/>
        </w:rPr>
      </w:r>
    </w:p>
    <w:p>
      <w:pPr>
        <w:pStyle w:val="Normal"/>
        <w:jc w:val="both"/>
        <w:rPr>
          <w:rFonts w:ascii="Calibri" w:hAnsi="Calibri" w:cs="Calibri" w:asciiTheme="minorHAnsi" w:cstheme="minorHAnsi" w:hAnsiTheme="minorHAnsi"/>
          <w:b/>
          <w:b/>
          <w:sz w:val="18"/>
          <w:szCs w:val="18"/>
        </w:rPr>
      </w:pPr>
      <w:r>
        <w:rPr>
          <w:rFonts w:cs="Calibri" w:cstheme="minorHAnsi" w:ascii="Calibri" w:hAnsi="Calibri"/>
          <w:b/>
          <w:sz w:val="18"/>
          <w:szCs w:val="18"/>
        </w:rPr>
      </w:r>
    </w:p>
    <w:p>
      <w:pPr>
        <w:pStyle w:val="Normal"/>
        <w:jc w:val="both"/>
        <w:rPr>
          <w:rFonts w:ascii="Calibri" w:hAnsi="Calibri" w:cs="Calibri" w:asciiTheme="minorHAnsi" w:cstheme="minorHAnsi" w:hAnsiTheme="minorHAnsi"/>
          <w:b/>
          <w:b/>
          <w:sz w:val="18"/>
          <w:szCs w:val="18"/>
        </w:rPr>
      </w:pPr>
      <w:r>
        <w:rPr>
          <w:rFonts w:cs="Calibri" w:cstheme="minorHAnsi" w:ascii="Calibri" w:hAnsi="Calibri"/>
          <w:b/>
          <w:sz w:val="18"/>
          <w:szCs w:val="18"/>
        </w:rPr>
      </w:r>
    </w:p>
    <w:p>
      <w:pPr>
        <w:pStyle w:val="Normal"/>
        <w:jc w:val="both"/>
        <w:rPr>
          <w:rFonts w:ascii="Calibri" w:hAnsi="Calibri" w:cs="Calibri" w:asciiTheme="minorHAnsi" w:cstheme="minorHAnsi" w:hAnsiTheme="minorHAnsi"/>
          <w:b/>
          <w:b/>
          <w:sz w:val="18"/>
          <w:szCs w:val="18"/>
        </w:rPr>
      </w:pPr>
      <w:r>
        <w:rPr>
          <w:rFonts w:cs="Calibri" w:cstheme="minorHAnsi" w:ascii="Calibri" w:hAnsi="Calibri"/>
          <w:b/>
          <w:sz w:val="18"/>
          <w:szCs w:val="18"/>
        </w:rPr>
      </w:r>
    </w:p>
    <w:p>
      <w:pPr>
        <w:pStyle w:val="Normal"/>
        <w:jc w:val="both"/>
        <w:rPr>
          <w:rFonts w:ascii="Calibri" w:hAnsi="Calibri" w:cs="Calibri" w:asciiTheme="minorHAnsi" w:cstheme="minorHAnsi" w:hAnsiTheme="minorHAnsi"/>
          <w:b/>
          <w:b/>
          <w:sz w:val="18"/>
          <w:szCs w:val="18"/>
        </w:rPr>
      </w:pPr>
      <w:r>
        <w:rPr>
          <w:rFonts w:cs="Calibri" w:cstheme="minorHAnsi" w:ascii="Calibri" w:hAnsi="Calibri"/>
          <w:b/>
          <w:sz w:val="18"/>
          <w:szCs w:val="18"/>
        </w:rPr>
      </w:r>
    </w:p>
    <w:p>
      <w:pPr>
        <w:pStyle w:val="Normal"/>
        <w:jc w:val="both"/>
        <w:rPr>
          <w:rFonts w:ascii="Calibri" w:hAnsi="Calibri" w:cs="Calibri" w:asciiTheme="minorHAnsi" w:cstheme="minorHAnsi" w:hAnsiTheme="minorHAnsi"/>
          <w:b/>
          <w:b/>
          <w:sz w:val="18"/>
          <w:szCs w:val="18"/>
        </w:rPr>
      </w:pPr>
      <w:r>
        <w:rPr>
          <w:rFonts w:cs="Calibri" w:cstheme="minorHAnsi" w:ascii="Calibri" w:hAnsi="Calibri"/>
          <w:b/>
          <w:sz w:val="18"/>
          <w:szCs w:val="18"/>
        </w:rPr>
      </w:r>
    </w:p>
    <w:p>
      <w:pPr>
        <w:pStyle w:val="Normal"/>
        <w:jc w:val="both"/>
        <w:rPr>
          <w:rFonts w:ascii="Calibri" w:hAnsi="Calibri" w:cs="Calibri" w:asciiTheme="minorHAnsi" w:cstheme="minorHAnsi" w:hAnsiTheme="minorHAnsi"/>
          <w:b/>
          <w:b/>
          <w:sz w:val="18"/>
          <w:szCs w:val="18"/>
        </w:rPr>
      </w:pPr>
      <w:r>
        <w:rPr>
          <w:rFonts w:cs="Calibri" w:cstheme="minorHAnsi" w:ascii="Calibri" w:hAnsi="Calibri"/>
          <w:b/>
          <w:sz w:val="18"/>
          <w:szCs w:val="18"/>
        </w:rPr>
      </w:r>
    </w:p>
    <w:p>
      <w:pPr>
        <w:pStyle w:val="Normal"/>
        <w:jc w:val="both"/>
        <w:rPr>
          <w:rFonts w:ascii="Calibri" w:hAnsi="Calibri" w:cs="Calibri" w:asciiTheme="minorHAnsi" w:cstheme="minorHAnsi" w:hAnsiTheme="minorHAnsi"/>
          <w:b/>
          <w:b/>
          <w:sz w:val="18"/>
          <w:szCs w:val="18"/>
        </w:rPr>
      </w:pPr>
      <w:r>
        <w:rPr>
          <w:rFonts w:cs="Calibri" w:cstheme="minorHAnsi" w:ascii="Calibri" w:hAnsi="Calibri"/>
          <w:b/>
          <w:sz w:val="18"/>
          <w:szCs w:val="18"/>
        </w:rPr>
      </w:r>
    </w:p>
    <w:p>
      <w:pPr>
        <w:pStyle w:val="Normal"/>
        <w:jc w:val="both"/>
        <w:rPr>
          <w:rFonts w:ascii="Calibri" w:hAnsi="Calibri" w:cs="Calibri" w:asciiTheme="minorHAnsi" w:cstheme="minorHAnsi" w:hAnsiTheme="minorHAnsi"/>
          <w:b/>
          <w:b/>
          <w:sz w:val="18"/>
          <w:szCs w:val="18"/>
        </w:rPr>
      </w:pPr>
      <w:r>
        <w:rPr>
          <w:rFonts w:cs="Calibri" w:cstheme="minorHAnsi" w:ascii="Calibri" w:hAnsi="Calibri"/>
          <w:b/>
          <w:sz w:val="18"/>
          <w:szCs w:val="18"/>
        </w:rPr>
      </w:r>
    </w:p>
    <w:p>
      <w:pPr>
        <w:pStyle w:val="Normal"/>
        <w:jc w:val="both"/>
        <w:rPr>
          <w:rFonts w:ascii="Calibri" w:hAnsi="Calibri" w:cs="Calibri" w:asciiTheme="minorHAnsi" w:cstheme="minorHAnsi" w:hAnsiTheme="minorHAnsi"/>
          <w:b/>
          <w:b/>
          <w:sz w:val="18"/>
          <w:szCs w:val="18"/>
        </w:rPr>
      </w:pPr>
      <w:r>
        <w:rPr>
          <w:rFonts w:cs="Calibri" w:cstheme="minorHAnsi" w:ascii="Calibri" w:hAnsi="Calibri"/>
          <w:b/>
          <w:sz w:val="18"/>
          <w:szCs w:val="18"/>
        </w:rPr>
      </w:r>
    </w:p>
    <w:p>
      <w:pPr>
        <w:pStyle w:val="Normal"/>
        <w:jc w:val="both"/>
        <w:rPr>
          <w:rFonts w:ascii="Calibri" w:hAnsi="Calibri" w:cs="Calibri" w:asciiTheme="minorHAnsi" w:cstheme="minorHAnsi" w:hAnsiTheme="minorHAnsi"/>
          <w:b/>
          <w:b/>
          <w:sz w:val="18"/>
          <w:szCs w:val="18"/>
        </w:rPr>
      </w:pPr>
      <w:r>
        <w:rPr>
          <w:rFonts w:cs="Calibri" w:cstheme="minorHAnsi" w:ascii="Calibri" w:hAnsi="Calibri"/>
          <w:b/>
          <w:sz w:val="18"/>
          <w:szCs w:val="18"/>
        </w:rPr>
      </w:r>
    </w:p>
    <w:p>
      <w:pPr>
        <w:pStyle w:val="Normal"/>
        <w:jc w:val="both"/>
        <w:rPr>
          <w:rFonts w:ascii="Calibri" w:hAnsi="Calibri" w:cs="Calibri" w:asciiTheme="minorHAnsi" w:cstheme="minorHAnsi" w:hAnsiTheme="minorHAnsi"/>
          <w:b/>
          <w:b/>
          <w:sz w:val="18"/>
          <w:szCs w:val="18"/>
        </w:rPr>
      </w:pPr>
      <w:r>
        <w:rPr>
          <w:rFonts w:cs="Calibri" w:cstheme="minorHAnsi" w:ascii="Calibri" w:hAnsi="Calibri"/>
          <w:b/>
          <w:sz w:val="18"/>
          <w:szCs w:val="18"/>
        </w:rPr>
      </w:r>
    </w:p>
    <w:p>
      <w:pPr>
        <w:pStyle w:val="Normal"/>
        <w:jc w:val="both"/>
        <w:rPr>
          <w:rFonts w:ascii="Calibri" w:hAnsi="Calibri" w:cs="Calibri" w:asciiTheme="minorHAnsi" w:cstheme="minorHAnsi" w:hAnsiTheme="minorHAnsi"/>
          <w:b/>
          <w:b/>
          <w:sz w:val="18"/>
          <w:szCs w:val="18"/>
        </w:rPr>
      </w:pPr>
      <w:r>
        <w:rPr>
          <w:rFonts w:cs="Calibri" w:cstheme="minorHAnsi" w:ascii="Calibri" w:hAnsi="Calibri"/>
          <w:b/>
          <w:sz w:val="18"/>
          <w:szCs w:val="18"/>
        </w:rPr>
      </w:r>
    </w:p>
    <w:p>
      <w:pPr>
        <w:pStyle w:val="Normal"/>
        <w:jc w:val="both"/>
        <w:rPr>
          <w:rFonts w:ascii="Calibri" w:hAnsi="Calibri" w:cs="Calibri" w:asciiTheme="minorHAnsi" w:cstheme="minorHAnsi" w:hAnsiTheme="minorHAnsi"/>
          <w:b/>
          <w:b/>
          <w:sz w:val="18"/>
          <w:szCs w:val="18"/>
        </w:rPr>
      </w:pPr>
      <w:r>
        <w:rPr>
          <w:rFonts w:cs="Calibri" w:cstheme="minorHAnsi" w:ascii="Calibri" w:hAnsi="Calibri"/>
          <w:b/>
          <w:sz w:val="18"/>
          <w:szCs w:val="18"/>
        </w:rPr>
      </w:r>
    </w:p>
    <w:p>
      <w:pPr>
        <w:pStyle w:val="Normal"/>
        <w:jc w:val="both"/>
        <w:rPr>
          <w:rFonts w:ascii="Calibri" w:hAnsi="Calibri" w:cs="Calibri" w:asciiTheme="minorHAnsi" w:cstheme="minorHAnsi" w:hAnsiTheme="minorHAnsi"/>
          <w:b/>
          <w:b/>
          <w:sz w:val="18"/>
          <w:szCs w:val="18"/>
        </w:rPr>
      </w:pPr>
      <w:r>
        <w:rPr>
          <w:rFonts w:cs="Calibri" w:cstheme="minorHAnsi" w:ascii="Calibri" w:hAnsi="Calibri"/>
          <w:b/>
          <w:sz w:val="18"/>
          <w:szCs w:val="18"/>
        </w:rPr>
      </w:r>
    </w:p>
    <w:p>
      <w:pPr>
        <w:pStyle w:val="Normal"/>
        <w:jc w:val="both"/>
        <w:rPr>
          <w:rFonts w:ascii="Calibri" w:hAnsi="Calibri" w:cs="Calibri" w:asciiTheme="minorHAnsi" w:cstheme="minorHAnsi" w:hAnsiTheme="minorHAnsi"/>
          <w:b/>
          <w:b/>
          <w:sz w:val="18"/>
          <w:szCs w:val="18"/>
        </w:rPr>
      </w:pPr>
      <w:r>
        <w:rPr>
          <w:rFonts w:cs="Calibri" w:cstheme="minorHAnsi" w:ascii="Calibri" w:hAnsi="Calibri"/>
          <w:b/>
          <w:sz w:val="18"/>
          <w:szCs w:val="18"/>
        </w:rPr>
      </w:r>
    </w:p>
    <w:p>
      <w:pPr>
        <w:pStyle w:val="Normal"/>
        <w:jc w:val="both"/>
        <w:rPr>
          <w:rFonts w:ascii="Calibri" w:hAnsi="Calibri" w:cs="Calibri" w:asciiTheme="minorHAnsi" w:cstheme="minorHAnsi" w:hAnsiTheme="minorHAnsi"/>
          <w:b/>
          <w:b/>
          <w:sz w:val="18"/>
          <w:szCs w:val="18"/>
        </w:rPr>
      </w:pPr>
      <w:r>
        <w:rPr>
          <w:rFonts w:cs="Calibri" w:cstheme="minorHAnsi" w:ascii="Calibri" w:hAnsi="Calibri"/>
          <w:b/>
          <w:sz w:val="18"/>
          <w:szCs w:val="18"/>
        </w:rPr>
      </w:r>
    </w:p>
    <w:p>
      <w:pPr>
        <w:pStyle w:val="Normal"/>
        <w:jc w:val="center"/>
        <w:rPr>
          <w:rFonts w:ascii="Verdana" w:hAnsi="Verdana" w:eastAsia="Calibri" w:cs="Calibri" w:cstheme="minorHAnsi"/>
          <w:sz w:val="20"/>
          <w:szCs w:val="20"/>
          <w:lang w:eastAsia="en-US"/>
        </w:rPr>
      </w:pPr>
      <w:r>
        <w:rPr>
          <w:rFonts w:eastAsia="Calibri" w:cs="Calibri" w:cstheme="minorHAnsi" w:ascii="Verdana" w:hAnsi="Verdana"/>
          <w:sz w:val="20"/>
          <w:szCs w:val="20"/>
          <w:lang w:eastAsia="en-US"/>
        </w:rPr>
      </w:r>
    </w:p>
    <w:p>
      <w:pPr>
        <w:pStyle w:val="Normal"/>
        <w:tabs>
          <w:tab w:val="clear" w:pos="708"/>
          <w:tab w:val="left" w:pos="0" w:leader="none"/>
          <w:tab w:val="left" w:pos="339" w:leader="none"/>
          <w:tab w:val="left" w:pos="425" w:leader="none"/>
          <w:tab w:val="left" w:pos="736" w:leader="none"/>
          <w:tab w:val="left" w:pos="1020" w:leader="none"/>
          <w:tab w:val="left" w:pos="1360" w:leader="none"/>
          <w:tab w:val="left" w:pos="1700" w:leader="none"/>
          <w:tab w:val="left" w:pos="2041" w:leader="none"/>
          <w:tab w:val="left" w:pos="2380" w:leader="none"/>
          <w:tab w:val="left" w:pos="2721" w:leader="none"/>
          <w:tab w:val="left" w:pos="3061" w:leader="none"/>
          <w:tab w:val="left" w:pos="3402" w:leader="none"/>
          <w:tab w:val="left" w:pos="5668" w:leader="none"/>
        </w:tabs>
        <w:jc w:val="center"/>
        <w:rPr>
          <w:rFonts w:ascii="Verdana" w:hAnsi="Verdana" w:cs="Calibri" w:cstheme="minorHAnsi"/>
          <w:b/>
          <w:b/>
          <w:sz w:val="20"/>
          <w:szCs w:val="20"/>
        </w:rPr>
      </w:pPr>
      <w:r>
        <w:rPr>
          <w:rStyle w:val="Header1"/>
          <w:rFonts w:cs="Calibri" w:ascii="Verdana" w:hAnsi="Verdana" w:cstheme="minorHAnsi"/>
          <w:sz w:val="20"/>
          <w:szCs w:val="20"/>
        </w:rPr>
        <w:t xml:space="preserve">SZCZEGÓŁOWA SPECYFIKACJA TECHNICZNA </w:t>
      </w:r>
    </w:p>
    <w:p>
      <w:pPr>
        <w:pStyle w:val="Normal"/>
        <w:tabs>
          <w:tab w:val="clear" w:pos="708"/>
          <w:tab w:val="left" w:pos="1" w:leader="none"/>
          <w:tab w:val="left" w:pos="336" w:leader="none"/>
          <w:tab w:val="left" w:pos="732" w:leader="none"/>
          <w:tab w:val="left" w:pos="1020" w:leader="none"/>
          <w:tab w:val="left" w:pos="1356" w:leader="none"/>
          <w:tab w:val="left" w:pos="1698" w:leader="none"/>
          <w:tab w:val="left" w:pos="2040" w:leader="none"/>
          <w:tab w:val="left" w:pos="2376" w:leader="none"/>
          <w:tab w:val="left" w:pos="2718" w:leader="none"/>
          <w:tab w:val="left" w:pos="3060" w:leader="none"/>
          <w:tab w:val="left" w:pos="3402" w:leader="none"/>
          <w:tab w:val="left" w:pos="5664" w:leader="none"/>
        </w:tabs>
        <w:jc w:val="center"/>
        <w:rPr>
          <w:rFonts w:ascii="Verdana" w:hAnsi="Verdana" w:cs="Calibri" w:cstheme="minorHAnsi"/>
          <w:b/>
          <w:b/>
          <w:sz w:val="20"/>
          <w:szCs w:val="20"/>
        </w:rPr>
      </w:pPr>
      <w:r>
        <w:rPr>
          <w:rFonts w:cs="Calibri" w:cstheme="minorHAnsi" w:ascii="Verdana" w:hAnsi="Verdana"/>
          <w:b/>
          <w:sz w:val="20"/>
          <w:szCs w:val="20"/>
        </w:rPr>
      </w:r>
    </w:p>
    <w:p>
      <w:pPr>
        <w:pStyle w:val="Nagwek2"/>
        <w:spacing w:before="0" w:after="0"/>
        <w:jc w:val="center"/>
        <w:rPr>
          <w:rFonts w:ascii="Verdana" w:hAnsi="Verdana" w:cs="Calibri" w:cstheme="minorHAnsi"/>
          <w:i w:val="false"/>
          <w:i w:val="false"/>
          <w:sz w:val="20"/>
          <w:szCs w:val="20"/>
        </w:rPr>
      </w:pPr>
      <w:r>
        <w:rPr>
          <w:rFonts w:cs="Calibri" w:ascii="Verdana" w:hAnsi="Verdana" w:cstheme="minorHAnsi"/>
          <w:i w:val="false"/>
          <w:sz w:val="20"/>
          <w:szCs w:val="20"/>
        </w:rPr>
        <w:t>D.07.06.02</w:t>
      </w:r>
    </w:p>
    <w:p>
      <w:pPr>
        <w:pStyle w:val="Normal"/>
        <w:rPr/>
      </w:pPr>
      <w:r>
        <w:rPr/>
      </w:r>
    </w:p>
    <w:p>
      <w:pPr>
        <w:pStyle w:val="Nagwek2"/>
        <w:spacing w:before="0" w:after="0"/>
        <w:jc w:val="center"/>
        <w:rPr>
          <w:rFonts w:ascii="Verdana" w:hAnsi="Verdana" w:cs="Calibri" w:cstheme="minorHAnsi"/>
          <w:i w:val="false"/>
          <w:i w:val="false"/>
          <w:sz w:val="20"/>
          <w:szCs w:val="20"/>
        </w:rPr>
      </w:pPr>
      <w:r>
        <w:rPr>
          <w:rFonts w:cs="Calibri" w:ascii="Verdana" w:hAnsi="Verdana" w:cstheme="minorHAnsi"/>
          <w:i w:val="false"/>
          <w:sz w:val="20"/>
          <w:szCs w:val="20"/>
        </w:rPr>
        <w:t xml:space="preserve"> </w:t>
      </w:r>
      <w:r>
        <w:rPr>
          <w:rFonts w:cs="Calibri" w:ascii="Verdana" w:hAnsi="Verdana" w:cstheme="minorHAnsi"/>
          <w:i w:val="false"/>
          <w:caps/>
          <w:sz w:val="20"/>
          <w:szCs w:val="20"/>
        </w:rPr>
        <w:t>URZĄDZENIA  ZABEZPIECZAJĄCE  RUCH PIESZYCH</w:t>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jc w:val="both"/>
        <w:rPr>
          <w:rFonts w:ascii="Calibri" w:hAnsi="Calibri" w:cs="Calibri" w:asciiTheme="minorHAnsi" w:cstheme="minorHAnsi" w:hAnsiTheme="minorHAnsi"/>
          <w:sz w:val="18"/>
          <w:szCs w:val="18"/>
        </w:rPr>
      </w:pPr>
      <w:r>
        <w:rPr>
          <w:rFonts w:cs="Calibri" w:cstheme="minorHAnsi" w:ascii="Calibri" w:hAnsi="Calibri"/>
          <w:sz w:val="18"/>
          <w:szCs w:val="18"/>
        </w:rPr>
      </w:r>
    </w:p>
    <w:p>
      <w:pPr>
        <w:pStyle w:val="Normal"/>
        <w:spacing w:lineRule="auto" w:line="276" w:before="0" w:after="200"/>
        <w:rPr>
          <w:rFonts w:ascii="Calibri" w:hAnsi="Calibri" w:eastAsia="" w:cs="Calibri" w:asciiTheme="minorHAnsi" w:cstheme="minorHAnsi" w:eastAsiaTheme="majorEastAsia" w:hAnsiTheme="minorHAnsi"/>
          <w:b/>
          <w:b/>
          <w:bCs/>
          <w:sz w:val="18"/>
          <w:szCs w:val="18"/>
        </w:rPr>
      </w:pPr>
      <w:r>
        <w:rPr>
          <w:rFonts w:eastAsia="" w:cs="Calibri" w:cstheme="minorHAnsi" w:eastAsiaTheme="majorEastAsia" w:ascii="Calibri" w:hAnsi="Calibri"/>
          <w:b/>
          <w:bCs/>
          <w:sz w:val="18"/>
          <w:szCs w:val="18"/>
        </w:rPr>
      </w:r>
      <w:r>
        <w:br w:type="page"/>
      </w:r>
    </w:p>
    <w:p>
      <w:pPr>
        <w:pStyle w:val="Nagwek1"/>
        <w:spacing w:before="0" w:after="0"/>
        <w:jc w:val="both"/>
        <w:rPr>
          <w:rFonts w:ascii="Verdana" w:hAnsi="Verdana" w:cs="Calibri" w:cstheme="minorHAnsi"/>
          <w:color w:val="auto"/>
          <w:sz w:val="20"/>
          <w:szCs w:val="20"/>
        </w:rPr>
      </w:pPr>
      <w:r>
        <w:rPr>
          <w:rFonts w:cs="Calibri" w:ascii="Verdana" w:hAnsi="Verdana" w:cstheme="minorHAnsi"/>
          <w:color w:val="auto"/>
          <w:sz w:val="20"/>
          <w:szCs w:val="20"/>
        </w:rPr>
        <w:t>1. Wstęp</w:t>
      </w:r>
    </w:p>
    <w:p>
      <w:pPr>
        <w:pStyle w:val="Nagwek2"/>
        <w:spacing w:before="0" w:after="0"/>
        <w:jc w:val="both"/>
        <w:rPr>
          <w:rFonts w:ascii="Verdana" w:hAnsi="Verdana" w:cs="Calibri" w:cstheme="minorHAnsi"/>
          <w:bCs w:val="false"/>
          <w:i w:val="false"/>
          <w:i w:val="false"/>
          <w:sz w:val="20"/>
          <w:szCs w:val="20"/>
        </w:rPr>
      </w:pPr>
      <w:r>
        <w:rPr>
          <w:rFonts w:cs="Calibri" w:ascii="Verdana" w:hAnsi="Verdana" w:cstheme="minorHAnsi"/>
          <w:bCs w:val="false"/>
          <w:i w:val="false"/>
          <w:sz w:val="20"/>
          <w:szCs w:val="20"/>
        </w:rPr>
        <w:t>1.1. Nazwa zadania</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w:t>
      </w:r>
      <w:r>
        <w:rPr>
          <w:rFonts w:cs="Arial" w:ascii="Arial" w:hAnsi="Arial"/>
          <w:b/>
          <w:bCs/>
          <w:color w:val="000000"/>
          <w:sz w:val="20"/>
          <w:szCs w:val="20"/>
        </w:rPr>
        <w:t>PRZEBUDOWA DROGI POWIATOWEJ NR 2301Z KOLONIA HANKI - JADWIŻYN”</w:t>
      </w:r>
      <w:r>
        <w:rPr>
          <w:rFonts w:ascii="Verdana" w:hAnsi="Verdana"/>
          <w:sz w:val="20"/>
          <w:szCs w:val="20"/>
        </w:rPr>
        <w:t>.</w:t>
      </w:r>
    </w:p>
    <w:p>
      <w:pPr>
        <w:pStyle w:val="Normal"/>
        <w:rPr>
          <w:rFonts w:ascii="Verdana" w:hAnsi="Verdana"/>
          <w:sz w:val="20"/>
          <w:szCs w:val="20"/>
        </w:rPr>
      </w:pPr>
      <w:r>
        <w:rPr>
          <w:rFonts w:ascii="Verdana" w:hAnsi="Verdana"/>
          <w:sz w:val="20"/>
          <w:szCs w:val="20"/>
        </w:rPr>
      </w:r>
    </w:p>
    <w:p>
      <w:pPr>
        <w:pStyle w:val="Nagwek2"/>
        <w:spacing w:before="0" w:after="0"/>
        <w:jc w:val="both"/>
        <w:rPr>
          <w:rFonts w:ascii="Verdana" w:hAnsi="Verdana" w:cs="Calibri" w:cstheme="minorHAnsi"/>
          <w:bCs w:val="false"/>
          <w:i w:val="false"/>
          <w:i w:val="false"/>
          <w:sz w:val="20"/>
          <w:szCs w:val="20"/>
        </w:rPr>
      </w:pPr>
      <w:r>
        <w:rPr>
          <w:rFonts w:cs="Calibri" w:ascii="Verdana" w:hAnsi="Verdana" w:cstheme="minorHAnsi"/>
          <w:bCs w:val="false"/>
          <w:i w:val="false"/>
          <w:sz w:val="20"/>
          <w:szCs w:val="20"/>
        </w:rPr>
        <w:t>1.2. Przedmiot ST</w:t>
      </w:r>
    </w:p>
    <w:p>
      <w:pPr>
        <w:pStyle w:val="Styl2"/>
        <w:spacing w:before="0" w:after="0"/>
        <w:rPr>
          <w:rFonts w:ascii="Verdana" w:hAnsi="Verdana" w:cs="Calibri" w:cstheme="minorHAnsi"/>
          <w:b w:val="false"/>
          <w:b w:val="false"/>
          <w:sz w:val="20"/>
          <w:szCs w:val="20"/>
        </w:rPr>
      </w:pPr>
      <w:r>
        <w:rPr>
          <w:rFonts w:cs="Calibri" w:ascii="Verdana" w:hAnsi="Verdana" w:cstheme="minorHAnsi"/>
          <w:b w:val="false"/>
          <w:sz w:val="20"/>
          <w:szCs w:val="20"/>
        </w:rPr>
        <w:t xml:space="preserve">Przedmiotem niniejszej Specyfikacji Technicznej są wymagania dotyczące wykonania i odbioru robót związanych z ustawieniem barier i U11a. </w:t>
      </w:r>
    </w:p>
    <w:p>
      <w:pPr>
        <w:pStyle w:val="Normal"/>
        <w:jc w:val="both"/>
        <w:rPr>
          <w:rFonts w:ascii="Verdana" w:hAnsi="Verdana" w:cs="Calibri" w:cstheme="minorHAnsi"/>
          <w:bCs/>
          <w:sz w:val="20"/>
          <w:szCs w:val="20"/>
        </w:rPr>
      </w:pPr>
      <w:r>
        <w:rPr>
          <w:rFonts w:cs="Calibri" w:cstheme="minorHAnsi" w:ascii="Verdana" w:hAnsi="Verdana"/>
          <w:bCs/>
          <w:sz w:val="20"/>
          <w:szCs w:val="20"/>
        </w:rPr>
      </w:r>
    </w:p>
    <w:p>
      <w:pPr>
        <w:pStyle w:val="Nagwek2"/>
        <w:spacing w:before="0" w:after="0"/>
        <w:jc w:val="both"/>
        <w:rPr>
          <w:rFonts w:ascii="Verdana" w:hAnsi="Verdana" w:cs="Calibri" w:cstheme="minorHAnsi"/>
          <w:bCs w:val="false"/>
          <w:i w:val="false"/>
          <w:i w:val="false"/>
          <w:sz w:val="20"/>
          <w:szCs w:val="20"/>
        </w:rPr>
      </w:pPr>
      <w:r>
        <w:rPr>
          <w:rFonts w:cs="Calibri" w:ascii="Verdana" w:hAnsi="Verdana" w:cstheme="minorHAnsi"/>
          <w:bCs w:val="false"/>
          <w:i w:val="false"/>
          <w:sz w:val="20"/>
          <w:szCs w:val="20"/>
        </w:rPr>
        <w:t>1.3. Zakres robót objętych ST</w:t>
      </w:r>
    </w:p>
    <w:p>
      <w:pPr>
        <w:pStyle w:val="BodyTextIndent3"/>
        <w:spacing w:before="0" w:after="0"/>
        <w:ind w:left="0" w:hanging="0"/>
        <w:jc w:val="both"/>
        <w:rPr>
          <w:rFonts w:ascii="Verdana" w:hAnsi="Verdana" w:cs="Calibri" w:cstheme="minorHAnsi"/>
          <w:bCs/>
          <w:sz w:val="20"/>
          <w:szCs w:val="20"/>
        </w:rPr>
      </w:pPr>
      <w:r>
        <w:rPr>
          <w:rFonts w:cs="Calibri" w:ascii="Verdana" w:hAnsi="Verdana" w:cstheme="minorHAnsi"/>
          <w:bCs/>
          <w:sz w:val="20"/>
          <w:szCs w:val="20"/>
        </w:rPr>
        <w:t>Ustalenia zawarte w niniejszej specyfikacji dotyczą zasad prowadzenia robót związanych  z wykonaniem urządzeń zabezpieczających ruch pieszy zgodnie z Dokumentacją Projektową, i obejmują:</w:t>
      </w:r>
    </w:p>
    <w:p>
      <w:pPr>
        <w:pStyle w:val="BodyTextIndent3"/>
        <w:numPr>
          <w:ilvl w:val="0"/>
          <w:numId w:val="3"/>
        </w:numPr>
        <w:tabs>
          <w:tab w:val="clear" w:pos="708"/>
        </w:tabs>
        <w:spacing w:before="0" w:after="0"/>
        <w:ind w:left="641" w:hanging="357"/>
        <w:jc w:val="both"/>
        <w:rPr>
          <w:rFonts w:ascii="Verdana" w:hAnsi="Verdana" w:cs="Calibri" w:cstheme="minorHAnsi"/>
          <w:bCs/>
          <w:sz w:val="20"/>
          <w:szCs w:val="20"/>
        </w:rPr>
      </w:pPr>
      <w:r>
        <w:rPr>
          <w:rFonts w:cs="Calibri" w:ascii="Verdana" w:hAnsi="Verdana" w:cstheme="minorHAnsi"/>
          <w:bCs/>
          <w:sz w:val="20"/>
          <w:szCs w:val="20"/>
        </w:rPr>
        <w:t xml:space="preserve">ustawienie ogrodzenia ochronnego U11a szczeblinkowych koloru żółtego Ral 1023 </w:t>
      </w:r>
      <w:bookmarkStart w:id="0" w:name="_GoBack"/>
      <w:bookmarkEnd w:id="0"/>
      <w:r>
        <w:rPr>
          <w:rFonts w:cs="Calibri" w:ascii="Verdana" w:hAnsi="Verdana" w:cstheme="minorHAnsi"/>
          <w:bCs/>
          <w:sz w:val="20"/>
          <w:szCs w:val="20"/>
        </w:rPr>
        <w:t>wysokości 120 cm.</w:t>
      </w:r>
    </w:p>
    <w:p>
      <w:pPr>
        <w:pStyle w:val="BodyTextIndent3"/>
        <w:spacing w:before="0" w:after="0"/>
        <w:jc w:val="both"/>
        <w:rPr>
          <w:rFonts w:ascii="Verdana" w:hAnsi="Verdana" w:cs="Calibri" w:cstheme="minorHAnsi"/>
          <w:b/>
          <w:b/>
          <w:bCs/>
          <w:sz w:val="20"/>
          <w:szCs w:val="20"/>
        </w:rPr>
      </w:pPr>
      <w:r>
        <w:rPr>
          <w:rFonts w:cs="Calibri" w:cstheme="minorHAnsi" w:ascii="Verdana" w:hAnsi="Verdana"/>
          <w:b/>
          <w:bCs/>
          <w:sz w:val="20"/>
          <w:szCs w:val="20"/>
        </w:rPr>
      </w:r>
    </w:p>
    <w:p>
      <w:pPr>
        <w:pStyle w:val="Nagwek2"/>
        <w:numPr>
          <w:ilvl w:val="0"/>
          <w:numId w:val="0"/>
        </w:numPr>
        <w:spacing w:before="0" w:after="0"/>
        <w:ind w:left="0" w:hanging="0"/>
        <w:jc w:val="both"/>
        <w:rPr>
          <w:rFonts w:ascii="Verdana" w:hAnsi="Verdana" w:cs="Calibri" w:cstheme="minorHAnsi"/>
          <w:bCs w:val="false"/>
          <w:i w:val="false"/>
          <w:i w:val="false"/>
          <w:sz w:val="20"/>
          <w:szCs w:val="20"/>
        </w:rPr>
      </w:pPr>
      <w:bookmarkStart w:id="1" w:name="_Toc421598600"/>
      <w:bookmarkStart w:id="2" w:name="_Toc419251224"/>
      <w:bookmarkStart w:id="3" w:name="_Toc419102686"/>
      <w:bookmarkStart w:id="4" w:name="_Toc418933351"/>
      <w:bookmarkStart w:id="5" w:name="_Toc415907980"/>
      <w:bookmarkStart w:id="6" w:name="_Toc414026106"/>
      <w:r>
        <w:rPr>
          <w:rFonts w:cs="Calibri" w:ascii="Verdana" w:hAnsi="Verdana" w:cstheme="minorHAnsi"/>
          <w:bCs w:val="false"/>
          <w:i w:val="false"/>
          <w:sz w:val="20"/>
          <w:szCs w:val="20"/>
        </w:rPr>
        <w:t>1.4. Określenia podstawowe</w:t>
      </w:r>
      <w:bookmarkEnd w:id="1"/>
      <w:bookmarkEnd w:id="2"/>
      <w:bookmarkEnd w:id="3"/>
      <w:bookmarkEnd w:id="4"/>
      <w:bookmarkEnd w:id="5"/>
      <w:bookmarkEnd w:id="6"/>
    </w:p>
    <w:p>
      <w:pPr>
        <w:pStyle w:val="Normal"/>
        <w:numPr>
          <w:ilvl w:val="2"/>
          <w:numId w:val="1"/>
        </w:numPr>
        <w:tabs>
          <w:tab w:val="clear" w:pos="708"/>
          <w:tab w:val="right" w:pos="-1985" w:leader="dot"/>
          <w:tab w:val="left" w:pos="720" w:leader="none"/>
        </w:tabs>
        <w:jc w:val="both"/>
        <w:rPr>
          <w:rFonts w:ascii="Verdana" w:hAnsi="Verdana" w:cs="Calibri" w:cstheme="minorHAnsi"/>
          <w:bCs/>
          <w:sz w:val="20"/>
          <w:szCs w:val="20"/>
        </w:rPr>
      </w:pPr>
      <w:bookmarkStart w:id="7" w:name="_Toc421598601"/>
      <w:bookmarkStart w:id="8" w:name="_Toc419251225"/>
      <w:bookmarkStart w:id="9" w:name="_Toc419102687"/>
      <w:bookmarkStart w:id="10" w:name="_Toc418933352"/>
      <w:bookmarkStart w:id="11" w:name="_Toc415907981"/>
      <w:bookmarkStart w:id="12" w:name="_Toc414026107"/>
      <w:r>
        <w:rPr>
          <w:rFonts w:cs="Calibri" w:ascii="Verdana" w:hAnsi="Verdana" w:cstheme="minorHAnsi"/>
          <w:b/>
          <w:sz w:val="20"/>
          <w:szCs w:val="20"/>
        </w:rPr>
        <w:t>Ogrodzenia ochronne sztywne</w:t>
      </w:r>
      <w:r>
        <w:rPr>
          <w:rFonts w:cs="Calibri" w:ascii="Verdana" w:hAnsi="Verdana" w:cstheme="minorHAnsi"/>
          <w:bCs/>
          <w:sz w:val="20"/>
          <w:szCs w:val="20"/>
        </w:rPr>
        <w:t xml:space="preserve"> - przegrody fizyczne separujące ruch pieszy od ruchu kołowego, które mogą być wykonane z rur, kształtowników stalowych.</w:t>
      </w:r>
    </w:p>
    <w:p>
      <w:pPr>
        <w:pStyle w:val="Tretekstu"/>
        <w:tabs>
          <w:tab w:val="right" w:pos="-1985" w:leader="dot"/>
          <w:tab w:val="left" w:pos="540" w:leader="none"/>
          <w:tab w:val="left" w:pos="851" w:leader="none"/>
          <w:tab w:val="left" w:pos="5103" w:leader="none"/>
        </w:tabs>
        <w:ind w:left="720" w:hanging="720"/>
        <w:rPr>
          <w:rFonts w:ascii="Verdana" w:hAnsi="Verdana" w:cs="Calibri" w:cstheme="minorHAnsi"/>
          <w:bCs/>
          <w:sz w:val="20"/>
        </w:rPr>
      </w:pPr>
      <w:r>
        <w:rPr>
          <w:rFonts w:cs="Calibri" w:ascii="Verdana" w:hAnsi="Verdana" w:cstheme="minorHAnsi"/>
          <w:bCs/>
          <w:sz w:val="20"/>
        </w:rPr>
        <w:t>1.4.2.</w:t>
        <w:tab/>
      </w:r>
      <w:r>
        <w:rPr>
          <w:rFonts w:cs="Calibri" w:ascii="Verdana" w:hAnsi="Verdana" w:cstheme="minorHAnsi"/>
          <w:b/>
          <w:sz w:val="20"/>
        </w:rPr>
        <w:t>Kształtowniki</w:t>
      </w:r>
      <w:r>
        <w:rPr>
          <w:rFonts w:cs="Calibri" w:ascii="Verdana" w:hAnsi="Verdana" w:cstheme="minorHAnsi"/>
          <w:bCs/>
          <w:sz w:val="20"/>
        </w:rPr>
        <w:t xml:space="preserve"> - wyroby o stałym przekroju poprzecznym w kształcie złożonej figury geometrycznej, dostarczane w odcinkach prostych, stosowane w konstrukcjach stalowych lub w połączeniu z innymi materiałami budowlanymi.</w:t>
      </w:r>
    </w:p>
    <w:p>
      <w:pPr>
        <w:pStyle w:val="Normal"/>
        <w:tabs>
          <w:tab w:val="clear" w:pos="708"/>
          <w:tab w:val="right" w:pos="-1985" w:leader="dot"/>
          <w:tab w:val="left" w:pos="720" w:leader="none"/>
        </w:tabs>
        <w:ind w:left="720" w:hanging="720"/>
        <w:jc w:val="both"/>
        <w:rPr>
          <w:rFonts w:ascii="Verdana" w:hAnsi="Verdana" w:cs="Calibri" w:cstheme="minorHAnsi"/>
          <w:bCs/>
          <w:sz w:val="20"/>
          <w:szCs w:val="20"/>
        </w:rPr>
      </w:pPr>
      <w:r>
        <w:rPr>
          <w:rFonts w:cs="Calibri" w:ascii="Verdana" w:hAnsi="Verdana" w:cstheme="minorHAnsi"/>
          <w:bCs/>
          <w:sz w:val="20"/>
          <w:szCs w:val="20"/>
        </w:rPr>
        <w:t>1.4.3.</w:t>
        <w:tab/>
        <w:t>Pozostałe określenia podstawowe są zgodne z obowiązującymi, odpowiednimi polskimi normami i z definicjami podanymi w ST D.00.00.00 „Wymagania ogólne”  pkt 1.4.</w:t>
      </w:r>
    </w:p>
    <w:p>
      <w:pPr>
        <w:pStyle w:val="Nagwek2"/>
        <w:numPr>
          <w:ilvl w:val="0"/>
          <w:numId w:val="0"/>
        </w:numPr>
        <w:spacing w:before="0" w:after="0"/>
        <w:ind w:left="0" w:hanging="0"/>
        <w:jc w:val="both"/>
        <w:rPr>
          <w:rFonts w:ascii="Verdana" w:hAnsi="Verdana" w:cs="Calibri" w:cstheme="minorHAnsi"/>
          <w:b w:val="false"/>
          <w:b w:val="false"/>
          <w:bCs w:val="false"/>
          <w:i w:val="false"/>
          <w:i w:val="false"/>
          <w:sz w:val="20"/>
          <w:szCs w:val="20"/>
        </w:rPr>
      </w:pPr>
      <w:r>
        <w:rPr>
          <w:rFonts w:cs="Calibri" w:cstheme="minorHAnsi" w:ascii="Verdana" w:hAnsi="Verdana"/>
          <w:b w:val="false"/>
          <w:bCs w:val="false"/>
          <w:i w:val="false"/>
          <w:sz w:val="20"/>
          <w:szCs w:val="20"/>
        </w:rPr>
      </w:r>
    </w:p>
    <w:p>
      <w:pPr>
        <w:pStyle w:val="Nagwek2"/>
        <w:numPr>
          <w:ilvl w:val="0"/>
          <w:numId w:val="0"/>
        </w:numPr>
        <w:spacing w:before="0" w:after="0"/>
        <w:ind w:left="0" w:hanging="0"/>
        <w:jc w:val="both"/>
        <w:rPr>
          <w:rFonts w:ascii="Verdana" w:hAnsi="Verdana" w:cs="Calibri" w:cstheme="minorHAnsi"/>
          <w:bCs w:val="false"/>
          <w:i w:val="false"/>
          <w:i w:val="false"/>
          <w:sz w:val="20"/>
          <w:szCs w:val="20"/>
        </w:rPr>
      </w:pPr>
      <w:bookmarkStart w:id="13" w:name="_Toc421598601"/>
      <w:bookmarkStart w:id="14" w:name="_Toc419251225"/>
      <w:bookmarkStart w:id="15" w:name="_Toc419102687"/>
      <w:bookmarkStart w:id="16" w:name="_Toc418933352"/>
      <w:bookmarkStart w:id="17" w:name="_Toc415907981"/>
      <w:bookmarkStart w:id="18" w:name="_Toc414026107"/>
      <w:r>
        <w:rPr>
          <w:rFonts w:cs="Calibri" w:ascii="Verdana" w:hAnsi="Verdana" w:cstheme="minorHAnsi"/>
          <w:bCs w:val="false"/>
          <w:i w:val="false"/>
          <w:sz w:val="20"/>
          <w:szCs w:val="20"/>
        </w:rPr>
        <w:t>1.5. Ogólne wymagania dotyczące robót</w:t>
      </w:r>
      <w:bookmarkEnd w:id="13"/>
      <w:bookmarkEnd w:id="14"/>
      <w:bookmarkEnd w:id="15"/>
      <w:bookmarkEnd w:id="16"/>
      <w:bookmarkEnd w:id="17"/>
      <w:bookmarkEnd w:id="18"/>
    </w:p>
    <w:p>
      <w:pPr>
        <w:pStyle w:val="Normal"/>
        <w:jc w:val="both"/>
        <w:rPr>
          <w:rFonts w:ascii="Verdana" w:hAnsi="Verdana" w:cs="Calibri" w:cstheme="minorHAnsi"/>
          <w:sz w:val="20"/>
          <w:szCs w:val="20"/>
        </w:rPr>
      </w:pPr>
      <w:bookmarkStart w:id="19" w:name="_Toc421598602"/>
      <w:bookmarkStart w:id="20" w:name="_Toc419251226"/>
      <w:bookmarkStart w:id="21" w:name="_Toc419102688"/>
      <w:bookmarkStart w:id="22" w:name="_Toc418933353"/>
      <w:bookmarkStart w:id="23" w:name="_Toc415907982"/>
      <w:bookmarkStart w:id="24" w:name="_Toc414026108"/>
      <w:r>
        <w:rPr>
          <w:rFonts w:cs="Calibri" w:ascii="Verdana" w:hAnsi="Verdana" w:cstheme="minorHAnsi"/>
          <w:sz w:val="20"/>
          <w:szCs w:val="20"/>
        </w:rPr>
        <w:t>Wykonawca robót jest odpowiedzialny za jakość wykonania robót oraz za zgodność robót z Dokumentacją Projektową, ST i poleceniami Kierownika Projektu.</w:t>
      </w:r>
    </w:p>
    <w:p>
      <w:pPr>
        <w:pStyle w:val="Normal"/>
        <w:numPr>
          <w:ilvl w:val="0"/>
          <w:numId w:val="0"/>
        </w:numPr>
        <w:ind w:left="0" w:hanging="0"/>
        <w:jc w:val="both"/>
        <w:rPr>
          <w:rFonts w:ascii="Verdana" w:hAnsi="Verdana" w:cs="Calibri" w:cstheme="minorHAnsi"/>
          <w:sz w:val="20"/>
          <w:szCs w:val="20"/>
        </w:rPr>
      </w:pPr>
      <w:r>
        <w:rPr>
          <w:rFonts w:cs="Calibri" w:ascii="Verdana" w:hAnsi="Verdana" w:cstheme="minorHAnsi"/>
          <w:sz w:val="20"/>
          <w:szCs w:val="20"/>
        </w:rPr>
        <w:t>Ogólne wymagania dotyczące robót podano w ST D.00.00.00 „Wymagania ogólne”.</w:t>
      </w:r>
    </w:p>
    <w:p>
      <w:pPr>
        <w:pStyle w:val="Normal"/>
        <w:numPr>
          <w:ilvl w:val="0"/>
          <w:numId w:val="0"/>
        </w:numPr>
        <w:ind w:left="0" w:hanging="0"/>
        <w:jc w:val="both"/>
        <w:rPr>
          <w:rFonts w:ascii="Verdana" w:hAnsi="Verdana" w:cs="Calibri" w:cstheme="minorHAnsi"/>
          <w:sz w:val="20"/>
          <w:szCs w:val="20"/>
        </w:rPr>
      </w:pPr>
      <w:r>
        <w:rPr>
          <w:rFonts w:cs="Calibri" w:cstheme="minorHAnsi" w:ascii="Verdana" w:hAnsi="Verdana"/>
          <w:sz w:val="20"/>
          <w:szCs w:val="20"/>
        </w:rPr>
      </w:r>
    </w:p>
    <w:p>
      <w:pPr>
        <w:pStyle w:val="Nagwek1"/>
        <w:numPr>
          <w:ilvl w:val="0"/>
          <w:numId w:val="0"/>
        </w:numPr>
        <w:spacing w:before="0" w:after="0"/>
        <w:ind w:left="0" w:hanging="0"/>
        <w:jc w:val="both"/>
        <w:rPr>
          <w:rFonts w:ascii="Verdana" w:hAnsi="Verdana" w:cs="Calibri" w:cstheme="minorHAnsi"/>
          <w:color w:val="auto"/>
          <w:sz w:val="20"/>
          <w:szCs w:val="20"/>
        </w:rPr>
      </w:pPr>
      <w:bookmarkStart w:id="25" w:name="_Toc421598602"/>
      <w:bookmarkStart w:id="26" w:name="_Toc419251226"/>
      <w:bookmarkStart w:id="27" w:name="_Toc419102688"/>
      <w:bookmarkStart w:id="28" w:name="_Toc418933353"/>
      <w:bookmarkStart w:id="29" w:name="_Toc415907982"/>
      <w:bookmarkStart w:id="30" w:name="_Toc414026108"/>
      <w:r>
        <w:rPr>
          <w:rFonts w:cs="Calibri" w:ascii="Verdana" w:hAnsi="Verdana" w:cstheme="minorHAnsi"/>
          <w:color w:val="auto"/>
          <w:sz w:val="20"/>
          <w:szCs w:val="20"/>
        </w:rPr>
        <w:t>2. Materiały</w:t>
      </w:r>
      <w:bookmarkEnd w:id="25"/>
      <w:bookmarkEnd w:id="26"/>
      <w:bookmarkEnd w:id="27"/>
      <w:bookmarkEnd w:id="28"/>
      <w:bookmarkEnd w:id="29"/>
      <w:bookmarkEnd w:id="30"/>
    </w:p>
    <w:p>
      <w:pPr>
        <w:pStyle w:val="Nagwek2"/>
        <w:numPr>
          <w:ilvl w:val="0"/>
          <w:numId w:val="0"/>
        </w:numPr>
        <w:spacing w:before="0" w:after="0"/>
        <w:ind w:left="0" w:hanging="0"/>
        <w:jc w:val="both"/>
        <w:rPr>
          <w:rFonts w:ascii="Verdana" w:hAnsi="Verdana" w:cs="Calibri" w:cstheme="minorHAnsi"/>
          <w:bCs w:val="false"/>
          <w:i w:val="false"/>
          <w:i w:val="false"/>
          <w:sz w:val="20"/>
          <w:szCs w:val="20"/>
        </w:rPr>
      </w:pPr>
      <w:bookmarkStart w:id="31" w:name="_Toc421598603"/>
      <w:bookmarkStart w:id="32" w:name="_Toc419251227"/>
      <w:bookmarkStart w:id="33" w:name="_Toc419102689"/>
      <w:bookmarkStart w:id="34" w:name="_Toc418933354"/>
      <w:bookmarkStart w:id="35" w:name="_Toc415907983"/>
      <w:bookmarkStart w:id="36" w:name="_Toc414026109"/>
      <w:bookmarkStart w:id="37" w:name="_Toc412954497"/>
      <w:bookmarkStart w:id="38" w:name="_Toc412860768"/>
      <w:bookmarkStart w:id="39" w:name="_Toc412437654"/>
      <w:bookmarkStart w:id="40" w:name="_Toc412436654"/>
      <w:bookmarkStart w:id="41" w:name="_Toc412267256"/>
      <w:bookmarkStart w:id="42" w:name="_Toc409506823"/>
      <w:bookmarkStart w:id="43" w:name="_Toc408901393"/>
      <w:bookmarkStart w:id="44" w:name="_Toc406915969"/>
      <w:bookmarkStart w:id="45" w:name="_Toc405179015"/>
      <w:bookmarkStart w:id="46" w:name="_Toc403355817"/>
      <w:bookmarkStart w:id="47" w:name="_Toc403272427"/>
      <w:bookmarkStart w:id="48" w:name="_Toc402846445"/>
      <w:bookmarkStart w:id="49" w:name="_Toc402083320"/>
      <w:bookmarkStart w:id="50" w:name="_Toc402075080"/>
      <w:bookmarkStart w:id="51" w:name="_Toc402071854"/>
      <w:r>
        <w:rPr>
          <w:rFonts w:cs="Calibri" w:ascii="Verdana" w:hAnsi="Verdana" w:cstheme="minorHAnsi"/>
          <w:bCs w:val="false"/>
          <w:i w:val="false"/>
          <w:sz w:val="20"/>
          <w:szCs w:val="20"/>
        </w:rPr>
        <w:t>2.1. Ogólne wymagania dotyczące materiałów</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pPr>
        <w:pStyle w:val="Tretekstu"/>
        <w:rPr>
          <w:rFonts w:ascii="Verdana" w:hAnsi="Verdana" w:cs="Calibri" w:cstheme="minorHAnsi"/>
          <w:bCs/>
          <w:sz w:val="20"/>
        </w:rPr>
      </w:pPr>
      <w:r>
        <w:rPr>
          <w:rFonts w:cs="Calibri" w:ascii="Verdana" w:hAnsi="Verdana" w:cstheme="minorHAnsi"/>
          <w:bCs/>
          <w:sz w:val="20"/>
        </w:rPr>
        <w:t>Ogólne wymagania dotyczące materiałów i ich składowania, podano w ST D.00.00.00 „Wymagania ogólne” punkt 2.</w:t>
      </w:r>
    </w:p>
    <w:p>
      <w:pPr>
        <w:pStyle w:val="Nagwek2"/>
        <w:spacing w:before="0" w:after="0"/>
        <w:jc w:val="both"/>
        <w:rPr>
          <w:rFonts w:ascii="Verdana" w:hAnsi="Verdana" w:cs="Calibri" w:cstheme="minorHAnsi"/>
          <w:b w:val="false"/>
          <w:b w:val="false"/>
          <w:bCs w:val="false"/>
          <w:i w:val="false"/>
          <w:i w:val="false"/>
          <w:sz w:val="20"/>
          <w:szCs w:val="20"/>
        </w:rPr>
      </w:pPr>
      <w:r>
        <w:rPr>
          <w:rFonts w:cs="Calibri" w:cstheme="minorHAnsi" w:ascii="Verdana" w:hAnsi="Verdana"/>
          <w:b w:val="false"/>
          <w:bCs w:val="false"/>
          <w:i w:val="false"/>
          <w:sz w:val="20"/>
          <w:szCs w:val="20"/>
        </w:rPr>
      </w:r>
    </w:p>
    <w:p>
      <w:pPr>
        <w:pStyle w:val="Nagwek2"/>
        <w:spacing w:before="0" w:after="0"/>
        <w:jc w:val="both"/>
        <w:rPr>
          <w:rFonts w:ascii="Verdana" w:hAnsi="Verdana" w:cs="Calibri" w:cstheme="minorHAnsi"/>
          <w:bCs w:val="false"/>
          <w:i w:val="false"/>
          <w:i w:val="false"/>
          <w:sz w:val="20"/>
          <w:szCs w:val="20"/>
        </w:rPr>
      </w:pPr>
      <w:r>
        <w:rPr>
          <w:rFonts w:cs="Calibri" w:ascii="Verdana" w:hAnsi="Verdana" w:cstheme="minorHAnsi"/>
          <w:bCs w:val="false"/>
          <w:i w:val="false"/>
          <w:sz w:val="20"/>
          <w:szCs w:val="20"/>
        </w:rPr>
        <w:t>2.2. Rodzaje materiałów</w:t>
      </w:r>
    </w:p>
    <w:p>
      <w:pPr>
        <w:pStyle w:val="Normal"/>
        <w:tabs>
          <w:tab w:val="clear" w:pos="708"/>
          <w:tab w:val="right" w:pos="-1985" w:leader="dot"/>
          <w:tab w:val="left" w:pos="540" w:leader="none"/>
        </w:tabs>
        <w:jc w:val="both"/>
        <w:rPr>
          <w:rFonts w:ascii="Verdana" w:hAnsi="Verdana" w:cs="Calibri" w:cstheme="minorHAnsi"/>
          <w:sz w:val="20"/>
          <w:szCs w:val="20"/>
        </w:rPr>
      </w:pPr>
      <w:r>
        <w:rPr>
          <w:rFonts w:cs="Calibri" w:ascii="Verdana" w:hAnsi="Verdana" w:cstheme="minorHAnsi"/>
          <w:bCs/>
          <w:sz w:val="20"/>
          <w:szCs w:val="20"/>
        </w:rPr>
        <w:t>Materiałami stosowanymi przy wykonywaniu urządzeń zabezpieczających ruch pieszy  (tj. bariery U-11a),</w:t>
      </w:r>
      <w:r>
        <w:rPr>
          <w:rFonts w:cs="Calibri" w:ascii="Verdana" w:hAnsi="Verdana" w:cstheme="minorHAnsi"/>
          <w:sz w:val="20"/>
          <w:szCs w:val="20"/>
        </w:rPr>
        <w:t xml:space="preserve"> objętych niniejszą ST, są:</w:t>
      </w:r>
    </w:p>
    <w:p>
      <w:pPr>
        <w:pStyle w:val="Normal"/>
        <w:numPr>
          <w:ilvl w:val="0"/>
          <w:numId w:val="2"/>
        </w:numPr>
        <w:tabs>
          <w:tab w:val="clear" w:pos="708"/>
          <w:tab w:val="right" w:pos="-1985" w:leader="dot"/>
          <w:tab w:val="left" w:pos="360" w:leader="none"/>
        </w:tabs>
        <w:jc w:val="both"/>
        <w:rPr>
          <w:rFonts w:ascii="Verdana" w:hAnsi="Verdana" w:cs="Calibri" w:cstheme="minorHAnsi"/>
          <w:b/>
          <w:b/>
          <w:sz w:val="20"/>
          <w:szCs w:val="20"/>
        </w:rPr>
      </w:pPr>
      <w:r>
        <w:rPr>
          <w:rFonts w:cs="Calibri" w:ascii="Verdana" w:hAnsi="Verdana" w:cstheme="minorHAnsi"/>
          <w:b/>
          <w:sz w:val="20"/>
          <w:szCs w:val="20"/>
        </w:rPr>
        <w:t>rury stalowe ocynkowane</w:t>
      </w:r>
    </w:p>
    <w:p>
      <w:pPr>
        <w:pStyle w:val="Normal"/>
        <w:numPr>
          <w:ilvl w:val="0"/>
          <w:numId w:val="2"/>
        </w:numPr>
        <w:tabs>
          <w:tab w:val="clear" w:pos="708"/>
          <w:tab w:val="right" w:pos="-1985" w:leader="dot"/>
          <w:tab w:val="left" w:pos="360" w:leader="none"/>
        </w:tabs>
        <w:jc w:val="both"/>
        <w:rPr>
          <w:rFonts w:ascii="Verdana" w:hAnsi="Verdana" w:cs="Calibri" w:cstheme="minorHAnsi"/>
          <w:b/>
          <w:b/>
          <w:sz w:val="20"/>
          <w:szCs w:val="20"/>
        </w:rPr>
      </w:pPr>
      <w:r>
        <w:rPr>
          <w:rFonts w:cs="Calibri" w:ascii="Verdana" w:hAnsi="Verdana" w:cstheme="minorHAnsi"/>
          <w:sz w:val="20"/>
          <w:szCs w:val="20"/>
        </w:rPr>
        <w:t>pręty stalowe,</w:t>
      </w:r>
    </w:p>
    <w:p>
      <w:pPr>
        <w:pStyle w:val="Normal"/>
        <w:jc w:val="both"/>
        <w:rPr>
          <w:rFonts w:ascii="Verdana" w:hAnsi="Verdana" w:cs="Calibri" w:cstheme="minorHAnsi"/>
          <w:sz w:val="20"/>
          <w:szCs w:val="20"/>
        </w:rPr>
      </w:pPr>
      <w:r>
        <w:rPr>
          <w:rFonts w:cs="Calibri" w:cstheme="minorHAnsi" w:ascii="Verdana" w:hAnsi="Verdana"/>
          <w:sz w:val="20"/>
          <w:szCs w:val="20"/>
        </w:rPr>
      </w:r>
    </w:p>
    <w:p>
      <w:pPr>
        <w:pStyle w:val="Nagwek2"/>
        <w:spacing w:before="0" w:after="0"/>
        <w:jc w:val="both"/>
        <w:rPr>
          <w:rFonts w:ascii="Verdana" w:hAnsi="Verdana" w:cs="Calibri" w:cstheme="minorHAnsi"/>
          <w:bCs w:val="false"/>
          <w:i w:val="false"/>
          <w:i w:val="false"/>
          <w:sz w:val="20"/>
          <w:szCs w:val="20"/>
        </w:rPr>
      </w:pPr>
      <w:r>
        <w:rPr>
          <w:rFonts w:cs="Calibri" w:ascii="Verdana" w:hAnsi="Verdana" w:cstheme="minorHAnsi"/>
          <w:bCs w:val="false"/>
          <w:i w:val="false"/>
          <w:sz w:val="20"/>
          <w:szCs w:val="20"/>
        </w:rPr>
        <w:t xml:space="preserve">2.3. </w:t>
      </w:r>
      <w:r>
        <w:rPr>
          <w:rFonts w:cs="Calibri" w:ascii="Verdana" w:hAnsi="Verdana" w:cstheme="minorHAnsi"/>
          <w:i w:val="false"/>
          <w:sz w:val="20"/>
          <w:szCs w:val="20"/>
          <w:lang w:eastAsia="pl-PL"/>
        </w:rPr>
        <w:t>Bariera segmentowa rurowa typu U-11a</w:t>
      </w:r>
    </w:p>
    <w:p>
      <w:pPr>
        <w:pStyle w:val="StylIwony"/>
        <w:spacing w:before="0" w:after="0"/>
        <w:rPr>
          <w:rFonts w:ascii="Verdana" w:hAnsi="Verdana" w:cs="Calibri" w:cstheme="minorHAnsi"/>
          <w:bCs/>
          <w:sz w:val="20"/>
        </w:rPr>
      </w:pPr>
      <w:r>
        <w:rPr>
          <w:rFonts w:cs="Calibri" w:cstheme="minorHAnsi" w:ascii="Verdana" w:hAnsi="Verdana"/>
          <w:bCs/>
          <w:sz w:val="20"/>
        </w:rPr>
      </w:r>
      <w:bookmarkStart w:id="52" w:name="_Toc428245551"/>
      <w:bookmarkStart w:id="53" w:name="_Toc428245409"/>
      <w:bookmarkStart w:id="54" w:name="_Toc428245250"/>
      <w:bookmarkStart w:id="55" w:name="_Toc421694756"/>
      <w:bookmarkStart w:id="56" w:name="_Toc421692026"/>
      <w:bookmarkStart w:id="57" w:name="_Toc428245551"/>
      <w:bookmarkStart w:id="58" w:name="_Toc428245409"/>
      <w:bookmarkStart w:id="59" w:name="_Toc428245250"/>
      <w:bookmarkStart w:id="60" w:name="_Toc421694756"/>
      <w:bookmarkStart w:id="61" w:name="_Toc421692026"/>
      <w:bookmarkEnd w:id="57"/>
      <w:bookmarkEnd w:id="58"/>
      <w:bookmarkEnd w:id="59"/>
      <w:bookmarkEnd w:id="60"/>
      <w:bookmarkEnd w:id="61"/>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 xml:space="preserve">• </w:t>
      </w:r>
      <w:r>
        <w:rPr>
          <w:rFonts w:cs="Calibri" w:ascii="Verdana" w:hAnsi="Verdana" w:cstheme="minorHAnsi"/>
          <w:sz w:val="20"/>
          <w:szCs w:val="20"/>
          <w:lang w:eastAsia="pl-PL"/>
        </w:rPr>
        <w:t>rama z rury stalowej ocynkowanej 60,3mm grubości ścianek min. 1,5 mm,</w:t>
      </w:r>
    </w:p>
    <w:p>
      <w:pPr>
        <w:pStyle w:val="Normal"/>
        <w:jc w:val="both"/>
        <w:rPr>
          <w:rFonts w:ascii="Verdana" w:hAnsi="Verdana" w:cs="Calibri" w:cstheme="minorHAnsi"/>
          <w:sz w:val="20"/>
          <w:szCs w:val="20"/>
          <w:lang w:eastAsia="pl-PL"/>
        </w:rPr>
      </w:pPr>
      <w:r>
        <w:rPr>
          <w:rFonts w:cs="Calibri" w:cstheme="minorHAnsi" w:ascii="Verdana" w:hAnsi="Verdana"/>
          <w:sz w:val="20"/>
          <w:szCs w:val="20"/>
          <w:lang w:eastAsia="pl-PL"/>
        </w:rPr>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Ramy i szczeblinki metalowe bariery ochronnej należy wykonać z ocynkowanych rur okrągłych. Rury powinny być wykonane z materiałów o</w:t>
      </w:r>
      <w:r>
        <w:rPr>
          <w:rFonts w:cs="Calibri" w:ascii="Verdana" w:hAnsi="Verdana" w:cstheme="minorHAnsi"/>
          <w:bCs/>
          <w:sz w:val="20"/>
          <w:szCs w:val="20"/>
        </w:rPr>
        <w:t>cynkowanych metodą ogniową ciągłą wg PN EN 10346</w:t>
      </w:r>
      <w:r>
        <w:rPr>
          <w:rFonts w:cs="Calibri" w:ascii="Verdana" w:hAnsi="Verdana" w:cstheme="minorHAnsi"/>
          <w:sz w:val="20"/>
          <w:szCs w:val="20"/>
          <w:lang w:eastAsia="pl-PL"/>
        </w:rPr>
        <w:t xml:space="preserve"> i być zaakceptowane przez Inżyniera. Ewentualne elementy połączeniowe jak śruby, wkręty, nakrętki itp. powinny być czyste, gładkie, bez pęknięć, naderwań, rozwarstwień i wypukłych karbów. Elementy barier należy malować farbami proszkowymi. Nie dopuszcza się stosowania farb o nieznanym pochodzeniu, nie mających uzgodnionych wymagań oraz nie sprawdzonych zgodnie z postanowieniami norm. Beton do wykonania fundamentów - C16/20 zgodnie z normą PN-EN 206-1.</w:t>
      </w:r>
    </w:p>
    <w:p>
      <w:pPr>
        <w:pStyle w:val="Normal"/>
        <w:jc w:val="both"/>
        <w:rPr>
          <w:rFonts w:ascii="Verdana" w:hAnsi="Verdana" w:cs="Calibri" w:cstheme="minorHAnsi"/>
          <w:sz w:val="20"/>
          <w:szCs w:val="20"/>
          <w:lang w:eastAsia="pl-PL"/>
        </w:rPr>
      </w:pPr>
      <w:r>
        <w:rPr>
          <w:rFonts w:cs="Calibri" w:cstheme="minorHAnsi" w:ascii="Verdana" w:hAnsi="Verdana"/>
          <w:sz w:val="20"/>
          <w:szCs w:val="20"/>
          <w:lang w:eastAsia="pl-PL"/>
        </w:rPr>
      </w:r>
    </w:p>
    <w:p>
      <w:pPr>
        <w:pStyle w:val="Normal"/>
        <w:jc w:val="both"/>
        <w:rPr>
          <w:rFonts w:ascii="Verdana" w:hAnsi="Verdana" w:cs="Calibri" w:cstheme="minorHAnsi"/>
          <w:b/>
          <w:b/>
          <w:sz w:val="20"/>
          <w:szCs w:val="20"/>
          <w:lang w:eastAsia="pl-PL"/>
        </w:rPr>
      </w:pPr>
      <w:r>
        <w:rPr>
          <w:rFonts w:cs="Calibri" w:ascii="Verdana" w:hAnsi="Verdana" w:cstheme="minorHAnsi"/>
          <w:b/>
          <w:sz w:val="20"/>
          <w:szCs w:val="20"/>
          <w:lang w:eastAsia="pl-PL"/>
        </w:rPr>
        <w:t>3. SPRZĘT</w:t>
      </w:r>
    </w:p>
    <w:p>
      <w:pPr>
        <w:pStyle w:val="Normal"/>
        <w:jc w:val="both"/>
        <w:rPr>
          <w:rFonts w:ascii="Verdana" w:hAnsi="Verdana" w:cs="Calibri" w:cstheme="minorHAnsi"/>
          <w:b/>
          <w:b/>
          <w:sz w:val="20"/>
          <w:szCs w:val="20"/>
          <w:lang w:eastAsia="pl-PL"/>
        </w:rPr>
      </w:pPr>
      <w:r>
        <w:rPr>
          <w:rFonts w:cs="Calibri" w:ascii="Verdana" w:hAnsi="Verdana" w:cstheme="minorHAnsi"/>
          <w:b/>
          <w:sz w:val="20"/>
          <w:szCs w:val="20"/>
          <w:lang w:eastAsia="pl-PL"/>
        </w:rPr>
        <w:t>3.1. Ogólne wymagania dotyczące sprzętu</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Ogólne wymagania dotyczące sprzętu podano w SST D-00.00.00 Wymagania ogólne pkt 3.</w:t>
      </w:r>
    </w:p>
    <w:p>
      <w:pPr>
        <w:pStyle w:val="Normal"/>
        <w:jc w:val="both"/>
        <w:rPr>
          <w:rFonts w:ascii="Verdana" w:hAnsi="Verdana" w:cs="Calibri" w:cstheme="minorHAnsi"/>
          <w:sz w:val="20"/>
          <w:szCs w:val="20"/>
          <w:lang w:eastAsia="pl-PL"/>
        </w:rPr>
      </w:pPr>
      <w:r>
        <w:rPr>
          <w:rFonts w:cs="Calibri" w:cstheme="minorHAnsi" w:ascii="Verdana" w:hAnsi="Verdana"/>
          <w:sz w:val="20"/>
          <w:szCs w:val="20"/>
          <w:lang w:eastAsia="pl-PL"/>
        </w:rPr>
      </w:r>
    </w:p>
    <w:p>
      <w:pPr>
        <w:pStyle w:val="Normal"/>
        <w:jc w:val="both"/>
        <w:rPr>
          <w:rFonts w:ascii="Verdana" w:hAnsi="Verdana" w:cs="Calibri" w:cstheme="minorHAnsi"/>
          <w:b/>
          <w:b/>
          <w:sz w:val="20"/>
          <w:szCs w:val="20"/>
          <w:lang w:eastAsia="pl-PL"/>
        </w:rPr>
      </w:pPr>
      <w:r>
        <w:rPr>
          <w:rFonts w:cs="Calibri" w:ascii="Verdana" w:hAnsi="Verdana" w:cstheme="minorHAnsi"/>
          <w:b/>
          <w:sz w:val="20"/>
          <w:szCs w:val="20"/>
          <w:lang w:eastAsia="pl-PL"/>
        </w:rPr>
        <w:t>3.2. Sprzęt do wykonania urządzeń zabezpieczających ruch pieszych</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Wykonawca przystępujący do wykonania urządzeń zabezpieczających ruch pieszych powinien przedstawić do zaakceptowania Inżynierowi odpowiedni sprzęt dobrany do sposobu montażu barier.</w:t>
      </w:r>
    </w:p>
    <w:p>
      <w:pPr>
        <w:pStyle w:val="Normal"/>
        <w:jc w:val="both"/>
        <w:rPr>
          <w:rFonts w:ascii="Verdana" w:hAnsi="Verdana" w:cs="Calibri" w:cstheme="minorHAnsi"/>
          <w:sz w:val="20"/>
          <w:szCs w:val="20"/>
          <w:lang w:eastAsia="pl-PL"/>
        </w:rPr>
      </w:pPr>
      <w:r>
        <w:rPr>
          <w:rFonts w:cs="Calibri" w:cstheme="minorHAnsi" w:ascii="Verdana" w:hAnsi="Verdana"/>
          <w:sz w:val="20"/>
          <w:szCs w:val="20"/>
          <w:lang w:eastAsia="pl-PL"/>
        </w:rPr>
      </w:r>
    </w:p>
    <w:p>
      <w:pPr>
        <w:pStyle w:val="Normal"/>
        <w:jc w:val="both"/>
        <w:rPr>
          <w:rFonts w:ascii="Verdana" w:hAnsi="Verdana" w:cs="Calibri" w:cstheme="minorHAnsi"/>
          <w:b/>
          <w:b/>
          <w:sz w:val="20"/>
          <w:szCs w:val="20"/>
          <w:lang w:eastAsia="pl-PL"/>
        </w:rPr>
      </w:pPr>
      <w:r>
        <w:rPr>
          <w:rFonts w:cs="Calibri" w:ascii="Verdana" w:hAnsi="Verdana" w:cstheme="minorHAnsi"/>
          <w:b/>
          <w:sz w:val="20"/>
          <w:szCs w:val="20"/>
          <w:lang w:eastAsia="pl-PL"/>
        </w:rPr>
        <w:t>4. TRANSPORT</w:t>
      </w:r>
    </w:p>
    <w:p>
      <w:pPr>
        <w:pStyle w:val="Normal"/>
        <w:jc w:val="both"/>
        <w:rPr>
          <w:rFonts w:ascii="Verdana" w:hAnsi="Verdana" w:cs="Calibri" w:cstheme="minorHAnsi"/>
          <w:b/>
          <w:b/>
          <w:sz w:val="20"/>
          <w:szCs w:val="20"/>
          <w:lang w:eastAsia="pl-PL"/>
        </w:rPr>
      </w:pPr>
      <w:r>
        <w:rPr>
          <w:rFonts w:cs="Calibri" w:ascii="Verdana" w:hAnsi="Verdana" w:cstheme="minorHAnsi"/>
          <w:b/>
          <w:sz w:val="20"/>
          <w:szCs w:val="20"/>
          <w:lang w:eastAsia="pl-PL"/>
        </w:rPr>
        <w:t>4.1. Ogólne wymagania dotyczące transportu</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Ogólne wymagania dotyczące transportu podano w SST D-00.00.00 Wymagania ogólne pkt 4.</w:t>
      </w:r>
    </w:p>
    <w:p>
      <w:pPr>
        <w:pStyle w:val="Normal"/>
        <w:jc w:val="both"/>
        <w:rPr>
          <w:rFonts w:ascii="Verdana" w:hAnsi="Verdana" w:cs="Calibri" w:cstheme="minorHAnsi"/>
          <w:sz w:val="20"/>
          <w:szCs w:val="20"/>
          <w:lang w:eastAsia="pl-PL"/>
        </w:rPr>
      </w:pPr>
      <w:r>
        <w:rPr>
          <w:rFonts w:cs="Calibri" w:cstheme="minorHAnsi" w:ascii="Verdana" w:hAnsi="Verdana"/>
          <w:sz w:val="20"/>
          <w:szCs w:val="20"/>
          <w:lang w:eastAsia="pl-PL"/>
        </w:rPr>
      </w:r>
    </w:p>
    <w:p>
      <w:pPr>
        <w:pStyle w:val="Normal"/>
        <w:jc w:val="both"/>
        <w:rPr>
          <w:rFonts w:ascii="Verdana" w:hAnsi="Verdana" w:cs="Calibri" w:cstheme="minorHAnsi"/>
          <w:b/>
          <w:b/>
          <w:sz w:val="20"/>
          <w:szCs w:val="20"/>
          <w:lang w:eastAsia="pl-PL"/>
        </w:rPr>
      </w:pPr>
      <w:r>
        <w:rPr>
          <w:rFonts w:cs="Calibri" w:ascii="Verdana" w:hAnsi="Verdana" w:cstheme="minorHAnsi"/>
          <w:b/>
          <w:sz w:val="20"/>
          <w:szCs w:val="20"/>
          <w:lang w:eastAsia="pl-PL"/>
        </w:rPr>
        <w:t>4.2. Transport materiałów</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Materiały można przewozić dowolnymi środkami transportu.</w:t>
      </w:r>
    </w:p>
    <w:p>
      <w:pPr>
        <w:pStyle w:val="Normal"/>
        <w:jc w:val="both"/>
        <w:rPr>
          <w:rFonts w:ascii="Verdana" w:hAnsi="Verdana" w:cs="Calibri" w:cstheme="minorHAnsi"/>
          <w:sz w:val="20"/>
          <w:szCs w:val="20"/>
          <w:lang w:eastAsia="pl-PL"/>
        </w:rPr>
      </w:pPr>
      <w:r>
        <w:rPr>
          <w:rFonts w:cs="Calibri" w:cstheme="minorHAnsi" w:ascii="Verdana" w:hAnsi="Verdana"/>
          <w:sz w:val="20"/>
          <w:szCs w:val="20"/>
          <w:lang w:eastAsia="pl-PL"/>
        </w:rPr>
      </w:r>
    </w:p>
    <w:p>
      <w:pPr>
        <w:pStyle w:val="Normal"/>
        <w:jc w:val="both"/>
        <w:rPr>
          <w:rFonts w:ascii="Verdana" w:hAnsi="Verdana" w:cs="Calibri" w:cstheme="minorHAnsi"/>
          <w:b/>
          <w:b/>
          <w:sz w:val="20"/>
          <w:szCs w:val="20"/>
          <w:lang w:eastAsia="pl-PL"/>
        </w:rPr>
      </w:pPr>
      <w:r>
        <w:rPr>
          <w:rFonts w:cs="Calibri" w:ascii="Verdana" w:hAnsi="Verdana" w:cstheme="minorHAnsi"/>
          <w:b/>
          <w:sz w:val="20"/>
          <w:szCs w:val="20"/>
          <w:lang w:eastAsia="pl-PL"/>
        </w:rPr>
        <w:t>5. WYKONANIE ROBÓT</w:t>
      </w:r>
    </w:p>
    <w:p>
      <w:pPr>
        <w:pStyle w:val="Normal"/>
        <w:jc w:val="both"/>
        <w:rPr>
          <w:rFonts w:ascii="Verdana" w:hAnsi="Verdana" w:cs="Calibri" w:cstheme="minorHAnsi"/>
          <w:b/>
          <w:b/>
          <w:sz w:val="20"/>
          <w:szCs w:val="20"/>
          <w:lang w:eastAsia="pl-PL"/>
        </w:rPr>
      </w:pPr>
      <w:r>
        <w:rPr>
          <w:rFonts w:cs="Calibri" w:ascii="Verdana" w:hAnsi="Verdana" w:cstheme="minorHAnsi"/>
          <w:b/>
          <w:sz w:val="20"/>
          <w:szCs w:val="20"/>
          <w:lang w:eastAsia="pl-PL"/>
        </w:rPr>
        <w:t>5.1. Ogólne zasady wykonania robót</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Ogólne zasady wykonania robót podano w SST D-00.00.00 Wymagania ogólne” pkt 5.</w:t>
      </w:r>
    </w:p>
    <w:p>
      <w:pPr>
        <w:pStyle w:val="Normal"/>
        <w:jc w:val="both"/>
        <w:rPr>
          <w:rFonts w:ascii="Verdana" w:hAnsi="Verdana" w:cs="Calibri" w:cstheme="minorHAnsi"/>
          <w:sz w:val="20"/>
          <w:szCs w:val="20"/>
          <w:lang w:eastAsia="pl-PL"/>
        </w:rPr>
      </w:pPr>
      <w:r>
        <w:rPr>
          <w:rFonts w:cs="Calibri" w:cstheme="minorHAnsi" w:ascii="Verdana" w:hAnsi="Verdana"/>
          <w:sz w:val="20"/>
          <w:szCs w:val="20"/>
          <w:lang w:eastAsia="pl-PL"/>
        </w:rPr>
      </w:r>
    </w:p>
    <w:p>
      <w:pPr>
        <w:pStyle w:val="Normal"/>
        <w:jc w:val="both"/>
        <w:rPr>
          <w:rFonts w:ascii="Verdana" w:hAnsi="Verdana" w:cs="Calibri" w:cstheme="minorHAnsi"/>
          <w:b/>
          <w:b/>
          <w:sz w:val="20"/>
          <w:szCs w:val="20"/>
          <w:lang w:eastAsia="pl-PL"/>
        </w:rPr>
      </w:pPr>
      <w:r>
        <w:rPr>
          <w:rFonts w:cs="Calibri" w:ascii="Verdana" w:hAnsi="Verdana" w:cstheme="minorHAnsi"/>
          <w:b/>
          <w:sz w:val="20"/>
          <w:szCs w:val="20"/>
          <w:lang w:eastAsia="pl-PL"/>
        </w:rPr>
        <w:t>5.2. Zasady wykonania urządzeń zabezpieczających ruch pieszych</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W zależności od wielkości robót Wykonawca przedstawi do akceptacji Inżyniera zakres robót wykonywanych bezpośrednio na placu budowy oraz robót przygotowawczych na zapleczu. Przed wykonywaniem robót należy wytyczyć lokalizację barier, na podstawie dokumentacji projektowej.</w:t>
      </w:r>
    </w:p>
    <w:p>
      <w:pPr>
        <w:pStyle w:val="Normal"/>
        <w:jc w:val="both"/>
        <w:rPr>
          <w:rFonts w:ascii="Verdana" w:hAnsi="Verdana" w:cs="Calibri" w:cstheme="minorHAnsi"/>
          <w:sz w:val="20"/>
          <w:szCs w:val="20"/>
          <w:lang w:eastAsia="pl-PL"/>
        </w:rPr>
      </w:pPr>
      <w:r>
        <w:rPr>
          <w:rFonts w:cs="Calibri" w:cstheme="minorHAnsi" w:ascii="Verdana" w:hAnsi="Verdana"/>
          <w:sz w:val="20"/>
          <w:szCs w:val="20"/>
          <w:lang w:eastAsia="pl-PL"/>
        </w:rPr>
      </w:r>
    </w:p>
    <w:p>
      <w:pPr>
        <w:pStyle w:val="Normal"/>
        <w:jc w:val="both"/>
        <w:rPr>
          <w:rFonts w:ascii="Verdana" w:hAnsi="Verdana" w:cs="Calibri" w:cstheme="minorHAnsi"/>
          <w:b/>
          <w:b/>
          <w:sz w:val="20"/>
          <w:szCs w:val="20"/>
          <w:lang w:eastAsia="pl-PL"/>
        </w:rPr>
      </w:pPr>
      <w:r>
        <w:rPr>
          <w:rFonts w:cs="Calibri" w:ascii="Verdana" w:hAnsi="Verdana" w:cstheme="minorHAnsi"/>
          <w:b/>
          <w:sz w:val="20"/>
          <w:szCs w:val="20"/>
          <w:lang w:eastAsia="pl-PL"/>
        </w:rPr>
        <w:t>5.3. Montaż barier</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Bariera powinna być montowana zgodnie z instrukcją montażową lub zgodnie z zasadami konstrukcyjnymi ustalonymi przez producenta i poleceniami Inżyniera.</w:t>
      </w:r>
    </w:p>
    <w:p>
      <w:pPr>
        <w:pStyle w:val="Normal"/>
        <w:jc w:val="both"/>
        <w:rPr>
          <w:rFonts w:ascii="Verdana" w:hAnsi="Verdana" w:cs="Calibri" w:cstheme="minorHAnsi"/>
          <w:sz w:val="20"/>
          <w:szCs w:val="20"/>
          <w:lang w:eastAsia="pl-PL"/>
        </w:rPr>
      </w:pPr>
      <w:r>
        <w:rPr>
          <w:rFonts w:cs="Calibri" w:cstheme="minorHAnsi" w:ascii="Verdana" w:hAnsi="Verdana"/>
          <w:sz w:val="20"/>
          <w:szCs w:val="20"/>
          <w:lang w:eastAsia="pl-PL"/>
        </w:rPr>
      </w:r>
    </w:p>
    <w:p>
      <w:pPr>
        <w:pStyle w:val="Normal"/>
        <w:jc w:val="both"/>
        <w:rPr>
          <w:rFonts w:ascii="Verdana" w:hAnsi="Verdana" w:cs="Calibri" w:cstheme="minorHAnsi"/>
          <w:b/>
          <w:b/>
          <w:sz w:val="20"/>
          <w:szCs w:val="20"/>
          <w:lang w:eastAsia="pl-PL"/>
        </w:rPr>
      </w:pPr>
      <w:r>
        <w:rPr>
          <w:rFonts w:cs="Calibri" w:ascii="Verdana" w:hAnsi="Verdana" w:cstheme="minorHAnsi"/>
          <w:b/>
          <w:sz w:val="20"/>
          <w:szCs w:val="20"/>
          <w:lang w:eastAsia="pl-PL"/>
        </w:rPr>
        <w:t>5.4. Montaż bariery segmentowej U- 11a</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W miejscach wyznaczonych do osadzenia słupków bariery należy wykonać otwory dla fundamentów 30x30x50 do 60cm –, wysokość barier wynosi 1,10 m nad powierzchnią. W wykonanych otworach należy osadzić słupki (nogi barier) w fundamencie betonowym wylewanym w czasie montażu  Bariery należy wykonać z rur o</w:t>
      </w:r>
      <w:r>
        <w:rPr>
          <w:rFonts w:cs="Calibri" w:ascii="Verdana" w:hAnsi="Verdana" w:cstheme="minorHAnsi"/>
          <w:bCs/>
          <w:sz w:val="20"/>
          <w:szCs w:val="20"/>
        </w:rPr>
        <w:t>cynkowanych metodą ciągłą (powłoka Z275 wg PN EN 10346) wraz z chemicznym myciem i pasywacją po spawaniu i zabezpieczeniem spawów skoncentrowanym preparatem cynkowym i  malowaniem proszkowymi farbami poliestrowymi</w:t>
      </w:r>
      <w:r>
        <w:rPr>
          <w:rFonts w:cs="Calibri" w:ascii="Verdana" w:hAnsi="Verdana" w:cstheme="minorHAnsi"/>
          <w:sz w:val="20"/>
          <w:szCs w:val="20"/>
          <w:lang w:eastAsia="pl-PL"/>
        </w:rPr>
        <w:t>. Kolor powinien być zgodny z Dokumentacją Projektową i zaakceptowany przez Inżyniera. Zaleca się stosowanie farb możliwie jak najmniej szkodliwych dla zdrowia ludzi i środowiska.</w:t>
      </w:r>
    </w:p>
    <w:p>
      <w:pPr>
        <w:pStyle w:val="Normal"/>
        <w:jc w:val="both"/>
        <w:rPr>
          <w:rFonts w:ascii="Verdana" w:hAnsi="Verdana" w:cs="Calibri" w:cstheme="minorHAnsi"/>
          <w:sz w:val="20"/>
          <w:szCs w:val="20"/>
          <w:lang w:eastAsia="pl-PL"/>
        </w:rPr>
      </w:pPr>
      <w:r>
        <w:rPr>
          <w:rFonts w:cs="Calibri" w:cstheme="minorHAnsi" w:ascii="Verdana" w:hAnsi="Verdana"/>
          <w:sz w:val="20"/>
          <w:szCs w:val="20"/>
          <w:lang w:eastAsia="pl-PL"/>
        </w:rPr>
      </w:r>
    </w:p>
    <w:p>
      <w:pPr>
        <w:pStyle w:val="Normal"/>
        <w:jc w:val="both"/>
        <w:rPr>
          <w:rFonts w:ascii="Verdana" w:hAnsi="Verdana" w:cs="Calibri" w:cstheme="minorHAnsi"/>
          <w:b/>
          <w:b/>
          <w:sz w:val="20"/>
          <w:szCs w:val="20"/>
          <w:lang w:eastAsia="pl-PL"/>
        </w:rPr>
      </w:pPr>
      <w:r>
        <w:rPr>
          <w:rFonts w:cs="Calibri" w:ascii="Verdana" w:hAnsi="Verdana" w:cstheme="minorHAnsi"/>
          <w:b/>
          <w:sz w:val="20"/>
          <w:szCs w:val="20"/>
          <w:lang w:eastAsia="pl-PL"/>
        </w:rPr>
        <w:t>6. KONTROLA JAKOŚCI ROBÓT</w:t>
      </w:r>
    </w:p>
    <w:p>
      <w:pPr>
        <w:pStyle w:val="Normal"/>
        <w:jc w:val="both"/>
        <w:rPr>
          <w:rFonts w:ascii="Verdana" w:hAnsi="Verdana" w:cs="Calibri" w:cstheme="minorHAnsi"/>
          <w:b/>
          <w:b/>
          <w:sz w:val="20"/>
          <w:szCs w:val="20"/>
          <w:lang w:eastAsia="pl-PL"/>
        </w:rPr>
      </w:pPr>
      <w:r>
        <w:rPr>
          <w:rFonts w:cs="Calibri" w:ascii="Verdana" w:hAnsi="Verdana" w:cstheme="minorHAnsi"/>
          <w:b/>
          <w:sz w:val="20"/>
          <w:szCs w:val="20"/>
          <w:lang w:eastAsia="pl-PL"/>
        </w:rPr>
        <w:t>6.1. Ogólne zasady kontroli jakości robót</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Ogólne zasady kontroli jakości robót podano w SST D-00.00.00 Wymagania ogólne pkt 6.</w:t>
      </w:r>
    </w:p>
    <w:p>
      <w:pPr>
        <w:pStyle w:val="Normal"/>
        <w:jc w:val="both"/>
        <w:rPr>
          <w:rFonts w:ascii="Verdana" w:hAnsi="Verdana" w:cs="Calibri" w:cstheme="minorHAnsi"/>
          <w:sz w:val="20"/>
          <w:szCs w:val="20"/>
          <w:lang w:eastAsia="pl-PL"/>
        </w:rPr>
      </w:pPr>
      <w:r>
        <w:rPr>
          <w:rFonts w:cs="Calibri" w:cstheme="minorHAnsi" w:ascii="Verdana" w:hAnsi="Verdana"/>
          <w:sz w:val="20"/>
          <w:szCs w:val="20"/>
          <w:lang w:eastAsia="pl-PL"/>
        </w:rPr>
      </w:r>
    </w:p>
    <w:p>
      <w:pPr>
        <w:pStyle w:val="Normal"/>
        <w:jc w:val="both"/>
        <w:rPr>
          <w:rFonts w:ascii="Verdana" w:hAnsi="Verdana" w:cs="Calibri" w:cstheme="minorHAnsi"/>
          <w:b/>
          <w:b/>
          <w:sz w:val="20"/>
          <w:szCs w:val="20"/>
          <w:lang w:eastAsia="pl-PL"/>
        </w:rPr>
      </w:pPr>
      <w:r>
        <w:rPr>
          <w:rFonts w:cs="Calibri" w:ascii="Verdana" w:hAnsi="Verdana" w:cstheme="minorHAnsi"/>
          <w:b/>
          <w:sz w:val="20"/>
          <w:szCs w:val="20"/>
          <w:lang w:eastAsia="pl-PL"/>
        </w:rPr>
        <w:t>6.2. Badania przed przystąpieniem do robót</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Przed przystąpieniem do robót Wykonawca powinien uzyskać od producentów zaświadczenia o jakości (atesty) oraz wykonać badania materiałów przeznaczonych do wykonania robót i przedstawić ich wyniki Inżynierowi w celu akceptacji materiałów.</w:t>
      </w:r>
    </w:p>
    <w:p>
      <w:pPr>
        <w:pStyle w:val="Normal"/>
        <w:jc w:val="both"/>
        <w:rPr>
          <w:rFonts w:ascii="Verdana" w:hAnsi="Verdana" w:cs="Calibri" w:cstheme="minorHAnsi"/>
          <w:sz w:val="20"/>
          <w:szCs w:val="20"/>
          <w:lang w:eastAsia="pl-PL"/>
        </w:rPr>
      </w:pPr>
      <w:r>
        <w:rPr>
          <w:rFonts w:cs="Calibri" w:cstheme="minorHAnsi" w:ascii="Verdana" w:hAnsi="Verdana"/>
          <w:sz w:val="20"/>
          <w:szCs w:val="20"/>
          <w:lang w:eastAsia="pl-PL"/>
        </w:rPr>
      </w:r>
    </w:p>
    <w:p>
      <w:pPr>
        <w:pStyle w:val="Normal"/>
        <w:jc w:val="both"/>
        <w:rPr>
          <w:rFonts w:ascii="Verdana" w:hAnsi="Verdana" w:cs="Calibri" w:cstheme="minorHAnsi"/>
          <w:b/>
          <w:b/>
          <w:sz w:val="20"/>
          <w:szCs w:val="20"/>
          <w:lang w:eastAsia="pl-PL"/>
        </w:rPr>
      </w:pPr>
      <w:r>
        <w:rPr>
          <w:rFonts w:cs="Calibri" w:ascii="Verdana" w:hAnsi="Verdana" w:cstheme="minorHAnsi"/>
          <w:b/>
          <w:sz w:val="20"/>
          <w:szCs w:val="20"/>
          <w:lang w:eastAsia="pl-PL"/>
        </w:rPr>
        <w:t>6.3. Badania i kontrola w czasie wykonywania robót</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6.3.1. Badania materiałów w czasie wykonywania robót</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Wszystkie materiały dostarczone na budowę z zaświadczeniem o jakości (atestem) producenta powinny być sprawdzone w zakresie powierzchni wyrobu i jego wymiarów.</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6.3.2. Kontrola w czasie wykonywania robót</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W czasie wykonywania urządzeń zabezpieczających ruch pieszych należy zbadać:</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a) zgodność wykonania urządzeń z dokumentacją projektową (lokalizacja, wymiary),</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b) zachowanie dopuszczalnych odchyłek wymiarów,</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c) prawidłowość wykonania dołów pod słupki</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d) poprawność wykonania fundamentów pod słupki</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e) poprawność ustawienia słupków</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W przypadku wykonania spawanych złącz elementów urządzeń:</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a) przed oględzinami, spoinę i przylegające do niej elementy łączone (od 10 do 20 mm z</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każdej strony) należy dokładnie oczyścić z żużla, zgorzeliny, odprysków, rdzy, farb i innych</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zanieczyszczeń utrudniających prowadzenie obserwacji i pomiarów,</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b) oględziny złączy należy przeprowadzić wizualnie z ewentualnym użyciem lupy o</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powiększeniu od 2 do 4 razy; do pomiarów spoin powinny być stosowane wzorniki,</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przymiary oraz uniwersalne spoinomierze,</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c) w przypadkach wątpliwych można zlecić uprawnionej jednostce zbadanie wytrzymałości</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zmęczeniowej spoin, zgodnie z PN-M-06515,</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d) złącza o wadach większych niż dopuszczalne powinny być naprawione powtórnym</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spawaniem.</w:t>
      </w:r>
    </w:p>
    <w:p>
      <w:pPr>
        <w:pStyle w:val="Normal"/>
        <w:jc w:val="both"/>
        <w:rPr>
          <w:rFonts w:ascii="Verdana" w:hAnsi="Verdana" w:cs="Calibri" w:cstheme="minorHAnsi"/>
          <w:sz w:val="20"/>
          <w:szCs w:val="20"/>
          <w:lang w:eastAsia="pl-PL"/>
        </w:rPr>
      </w:pPr>
      <w:r>
        <w:rPr>
          <w:rFonts w:cs="Calibri" w:cstheme="minorHAnsi" w:ascii="Verdana" w:hAnsi="Verdana"/>
          <w:sz w:val="20"/>
          <w:szCs w:val="20"/>
          <w:lang w:eastAsia="pl-PL"/>
        </w:rPr>
      </w:r>
    </w:p>
    <w:p>
      <w:pPr>
        <w:pStyle w:val="Normal"/>
        <w:jc w:val="both"/>
        <w:rPr>
          <w:rFonts w:ascii="Verdana" w:hAnsi="Verdana" w:cs="Calibri" w:cstheme="minorHAnsi"/>
          <w:b/>
          <w:b/>
          <w:sz w:val="20"/>
          <w:szCs w:val="20"/>
          <w:lang w:eastAsia="pl-PL"/>
        </w:rPr>
      </w:pPr>
      <w:r>
        <w:rPr>
          <w:rFonts w:cs="Calibri" w:ascii="Verdana" w:hAnsi="Verdana" w:cstheme="minorHAnsi"/>
          <w:b/>
          <w:sz w:val="20"/>
          <w:szCs w:val="20"/>
          <w:lang w:eastAsia="pl-PL"/>
        </w:rPr>
        <w:t>7. OBMIAR ROBÓT</w:t>
      </w:r>
    </w:p>
    <w:p>
      <w:pPr>
        <w:pStyle w:val="Normal"/>
        <w:jc w:val="both"/>
        <w:rPr>
          <w:rFonts w:ascii="Verdana" w:hAnsi="Verdana" w:cs="Calibri" w:cstheme="minorHAnsi"/>
          <w:b/>
          <w:b/>
          <w:sz w:val="20"/>
          <w:szCs w:val="20"/>
          <w:lang w:eastAsia="pl-PL"/>
        </w:rPr>
      </w:pPr>
      <w:r>
        <w:rPr>
          <w:rFonts w:cs="Calibri" w:ascii="Verdana" w:hAnsi="Verdana" w:cstheme="minorHAnsi"/>
          <w:b/>
          <w:sz w:val="20"/>
          <w:szCs w:val="20"/>
          <w:lang w:eastAsia="pl-PL"/>
        </w:rPr>
        <w:t>7.1. Ogólne zasady obmiaru robót</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Ogólne zasady obmiaru robót podano w SST D-00.00.00 Wymagania ogólne pkt 7.</w:t>
      </w:r>
    </w:p>
    <w:p>
      <w:pPr>
        <w:pStyle w:val="Normal"/>
        <w:jc w:val="both"/>
        <w:rPr>
          <w:rFonts w:ascii="Verdana" w:hAnsi="Verdana" w:cs="Calibri" w:cstheme="minorHAnsi"/>
          <w:sz w:val="20"/>
          <w:szCs w:val="20"/>
          <w:lang w:eastAsia="pl-PL"/>
        </w:rPr>
      </w:pPr>
      <w:r>
        <w:rPr>
          <w:rFonts w:cs="Calibri" w:cstheme="minorHAnsi" w:ascii="Verdana" w:hAnsi="Verdana"/>
          <w:sz w:val="20"/>
          <w:szCs w:val="20"/>
          <w:lang w:eastAsia="pl-PL"/>
        </w:rPr>
      </w:r>
    </w:p>
    <w:p>
      <w:pPr>
        <w:pStyle w:val="Normal"/>
        <w:jc w:val="both"/>
        <w:rPr>
          <w:rFonts w:ascii="Verdana" w:hAnsi="Verdana" w:cs="Calibri" w:cstheme="minorHAnsi"/>
          <w:b/>
          <w:b/>
          <w:sz w:val="20"/>
          <w:szCs w:val="20"/>
          <w:lang w:eastAsia="pl-PL"/>
        </w:rPr>
      </w:pPr>
      <w:r>
        <w:rPr>
          <w:rFonts w:cs="Calibri" w:ascii="Verdana" w:hAnsi="Verdana" w:cstheme="minorHAnsi"/>
          <w:b/>
          <w:sz w:val="20"/>
          <w:szCs w:val="20"/>
          <w:lang w:eastAsia="pl-PL"/>
        </w:rPr>
        <w:t>7.2. Jednostka obmiarowa</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Jednostką obmiarową jest metr (m) urządzenia zabezpieczającego ruch pieszych.</w:t>
      </w:r>
    </w:p>
    <w:p>
      <w:pPr>
        <w:pStyle w:val="Normal"/>
        <w:jc w:val="both"/>
        <w:rPr>
          <w:rFonts w:ascii="Verdana" w:hAnsi="Verdana" w:cs="Calibri" w:cstheme="minorHAnsi"/>
          <w:sz w:val="20"/>
          <w:szCs w:val="20"/>
          <w:lang w:eastAsia="pl-PL"/>
        </w:rPr>
      </w:pPr>
      <w:r>
        <w:rPr>
          <w:rFonts w:cs="Calibri" w:cstheme="minorHAnsi" w:ascii="Verdana" w:hAnsi="Verdana"/>
          <w:sz w:val="20"/>
          <w:szCs w:val="20"/>
          <w:lang w:eastAsia="pl-PL"/>
        </w:rPr>
      </w:r>
    </w:p>
    <w:p>
      <w:pPr>
        <w:pStyle w:val="Normal"/>
        <w:jc w:val="both"/>
        <w:rPr>
          <w:rFonts w:ascii="Verdana" w:hAnsi="Verdana" w:cs="Calibri" w:cstheme="minorHAnsi"/>
          <w:b/>
          <w:b/>
          <w:sz w:val="20"/>
          <w:szCs w:val="20"/>
          <w:lang w:eastAsia="pl-PL"/>
        </w:rPr>
      </w:pPr>
      <w:r>
        <w:rPr>
          <w:rFonts w:cs="Calibri" w:ascii="Verdana" w:hAnsi="Verdana" w:cstheme="minorHAnsi"/>
          <w:b/>
          <w:sz w:val="20"/>
          <w:szCs w:val="20"/>
          <w:lang w:eastAsia="pl-PL"/>
        </w:rPr>
        <w:t>8. ODBIÓR ROBÓT</w:t>
      </w:r>
    </w:p>
    <w:p>
      <w:pPr>
        <w:pStyle w:val="Normal"/>
        <w:jc w:val="both"/>
        <w:rPr>
          <w:rFonts w:ascii="Verdana" w:hAnsi="Verdana" w:cs="Calibri" w:cstheme="minorHAnsi"/>
          <w:b/>
          <w:b/>
          <w:sz w:val="20"/>
          <w:szCs w:val="20"/>
          <w:lang w:eastAsia="pl-PL"/>
        </w:rPr>
      </w:pPr>
      <w:r>
        <w:rPr>
          <w:rFonts w:cs="Calibri" w:ascii="Verdana" w:hAnsi="Verdana" w:cstheme="minorHAnsi"/>
          <w:b/>
          <w:sz w:val="20"/>
          <w:szCs w:val="20"/>
          <w:lang w:eastAsia="pl-PL"/>
        </w:rPr>
        <w:t xml:space="preserve">8.1. </w:t>
      </w:r>
      <w:r>
        <w:rPr>
          <w:rFonts w:cs="Calibri" w:ascii="Verdana" w:hAnsi="Verdana" w:cstheme="minorHAnsi"/>
          <w:sz w:val="20"/>
          <w:szCs w:val="20"/>
          <w:lang w:eastAsia="pl-PL"/>
        </w:rPr>
        <w:t>Ogólne zasady odbioru robót podano w SST D-00.00.00 Wymagania ogólne pkt 8.</w:t>
      </w:r>
    </w:p>
    <w:p>
      <w:pPr>
        <w:pStyle w:val="Normal"/>
        <w:jc w:val="both"/>
        <w:rPr>
          <w:rFonts w:ascii="Verdana" w:hAnsi="Verdana" w:cs="Calibri" w:cstheme="minorHAnsi"/>
          <w:b/>
          <w:b/>
          <w:sz w:val="20"/>
          <w:szCs w:val="20"/>
          <w:lang w:eastAsia="pl-PL"/>
        </w:rPr>
      </w:pPr>
      <w:r>
        <w:rPr>
          <w:rFonts w:cs="Calibri" w:ascii="Verdana" w:hAnsi="Verdana" w:cstheme="minorHAnsi"/>
          <w:b/>
          <w:sz w:val="20"/>
          <w:szCs w:val="20"/>
          <w:lang w:eastAsia="pl-PL"/>
        </w:rPr>
        <w:t xml:space="preserve">8.2. </w:t>
      </w:r>
      <w:r>
        <w:rPr>
          <w:rFonts w:cs="Calibri" w:ascii="Verdana" w:hAnsi="Verdana" w:cstheme="minorHAnsi"/>
          <w:sz w:val="20"/>
          <w:szCs w:val="20"/>
          <w:lang w:eastAsia="pl-PL"/>
        </w:rPr>
        <w:t>Roboty uznaje się za wykonane zgodnie z dokumentacją projektową, SST i wymaganiami</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Inżyniera, jeżeli wszystkie pomiary i badania z zachowaniem tolerancji wg pkt 6 dały</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wyniki pozytywne.</w:t>
      </w:r>
    </w:p>
    <w:p>
      <w:pPr>
        <w:pStyle w:val="Normal"/>
        <w:jc w:val="both"/>
        <w:rPr>
          <w:rFonts w:ascii="Verdana" w:hAnsi="Verdana" w:cs="Calibri" w:cstheme="minorHAnsi"/>
          <w:sz w:val="20"/>
          <w:szCs w:val="20"/>
          <w:lang w:eastAsia="pl-PL"/>
        </w:rPr>
      </w:pPr>
      <w:r>
        <w:rPr>
          <w:rFonts w:cs="Calibri" w:cstheme="minorHAnsi" w:ascii="Verdana" w:hAnsi="Verdana"/>
          <w:sz w:val="20"/>
          <w:szCs w:val="20"/>
          <w:lang w:eastAsia="pl-PL"/>
        </w:rPr>
      </w:r>
    </w:p>
    <w:p>
      <w:pPr>
        <w:pStyle w:val="Normal"/>
        <w:jc w:val="both"/>
        <w:rPr>
          <w:rFonts w:ascii="Verdana" w:hAnsi="Verdana" w:cs="Calibri" w:cstheme="minorHAnsi"/>
          <w:b/>
          <w:b/>
          <w:sz w:val="20"/>
          <w:szCs w:val="20"/>
          <w:lang w:eastAsia="pl-PL"/>
        </w:rPr>
      </w:pPr>
      <w:r>
        <w:rPr>
          <w:rFonts w:cs="Calibri" w:ascii="Verdana" w:hAnsi="Verdana" w:cstheme="minorHAnsi"/>
          <w:b/>
          <w:sz w:val="20"/>
          <w:szCs w:val="20"/>
          <w:lang w:eastAsia="pl-PL"/>
        </w:rPr>
        <w:t>9. PODSTAWA PŁATNOŚCI</w:t>
      </w:r>
    </w:p>
    <w:p>
      <w:pPr>
        <w:pStyle w:val="Normal"/>
        <w:jc w:val="both"/>
        <w:rPr>
          <w:rFonts w:ascii="Verdana" w:hAnsi="Verdana" w:cs="Calibri" w:cstheme="minorHAnsi"/>
          <w:b/>
          <w:b/>
          <w:sz w:val="20"/>
          <w:szCs w:val="20"/>
          <w:lang w:eastAsia="pl-PL"/>
        </w:rPr>
      </w:pPr>
      <w:r>
        <w:rPr>
          <w:rFonts w:cs="Calibri" w:ascii="Verdana" w:hAnsi="Verdana" w:cstheme="minorHAnsi"/>
          <w:b/>
          <w:sz w:val="20"/>
          <w:szCs w:val="20"/>
          <w:lang w:eastAsia="pl-PL"/>
        </w:rPr>
        <w:t>9.1. Ogólne ustalenia dotyczące podstawy płatności</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Ogólne ustalenia dotyczące podstawy płatności podano w SST D-00.00.00 Wymagania ogólne pkt 9.</w:t>
      </w:r>
    </w:p>
    <w:p>
      <w:pPr>
        <w:pStyle w:val="Normal"/>
        <w:jc w:val="both"/>
        <w:rPr>
          <w:rFonts w:ascii="Verdana" w:hAnsi="Verdana" w:cs="Calibri" w:cstheme="minorHAnsi"/>
          <w:sz w:val="20"/>
          <w:szCs w:val="20"/>
          <w:lang w:eastAsia="pl-PL"/>
        </w:rPr>
      </w:pPr>
      <w:r>
        <w:rPr>
          <w:rFonts w:cs="Calibri" w:cstheme="minorHAnsi" w:ascii="Verdana" w:hAnsi="Verdana"/>
          <w:sz w:val="20"/>
          <w:szCs w:val="20"/>
          <w:lang w:eastAsia="pl-PL"/>
        </w:rPr>
      </w:r>
    </w:p>
    <w:p>
      <w:pPr>
        <w:pStyle w:val="Normal"/>
        <w:jc w:val="both"/>
        <w:rPr>
          <w:rFonts w:ascii="Verdana" w:hAnsi="Verdana" w:cs="Calibri" w:cstheme="minorHAnsi"/>
          <w:b/>
          <w:b/>
          <w:sz w:val="20"/>
          <w:szCs w:val="20"/>
          <w:lang w:eastAsia="pl-PL"/>
        </w:rPr>
      </w:pPr>
      <w:r>
        <w:rPr>
          <w:rFonts w:cs="Calibri" w:ascii="Verdana" w:hAnsi="Verdana" w:cstheme="minorHAnsi"/>
          <w:b/>
          <w:sz w:val="20"/>
          <w:szCs w:val="20"/>
          <w:lang w:eastAsia="pl-PL"/>
        </w:rPr>
        <w:t>9.2. Cena jednostek obmiarowych</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Cena 1 m wykonania barier ochronnych sztywnych obejmuje:</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 xml:space="preserve">• </w:t>
      </w:r>
      <w:r>
        <w:rPr>
          <w:rFonts w:cs="Calibri" w:ascii="Verdana" w:hAnsi="Verdana" w:cstheme="minorHAnsi"/>
          <w:sz w:val="20"/>
          <w:szCs w:val="20"/>
          <w:lang w:eastAsia="pl-PL"/>
        </w:rPr>
        <w:t>prace pomiarowe i roboty przygotowawcze,</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 xml:space="preserve">• </w:t>
      </w:r>
      <w:r>
        <w:rPr>
          <w:rFonts w:cs="Calibri" w:ascii="Verdana" w:hAnsi="Verdana" w:cstheme="minorHAnsi"/>
          <w:sz w:val="20"/>
          <w:szCs w:val="20"/>
          <w:lang w:eastAsia="pl-PL"/>
        </w:rPr>
        <w:t xml:space="preserve">zakup i dostarczenie na miejsce wbudowania elementów konstrukcji barier, </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 xml:space="preserve">• </w:t>
      </w:r>
      <w:r>
        <w:rPr>
          <w:rFonts w:cs="Calibri" w:ascii="Verdana" w:hAnsi="Verdana" w:cstheme="minorHAnsi"/>
          <w:sz w:val="20"/>
          <w:szCs w:val="20"/>
          <w:lang w:eastAsia="pl-PL"/>
        </w:rPr>
        <w:t>zakup i dostarczenie na plac budowy składników,</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 xml:space="preserve">• </w:t>
      </w:r>
      <w:r>
        <w:rPr>
          <w:rFonts w:cs="Calibri" w:ascii="Verdana" w:hAnsi="Verdana" w:cstheme="minorHAnsi"/>
          <w:sz w:val="20"/>
          <w:szCs w:val="20"/>
          <w:lang w:eastAsia="pl-PL"/>
        </w:rPr>
        <w:t>zainstalowanie urządzeń bezpieczeństwa w sposób zapewniający stabilność,</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 xml:space="preserve">• </w:t>
      </w:r>
      <w:r>
        <w:rPr>
          <w:rFonts w:cs="Calibri" w:ascii="Verdana" w:hAnsi="Verdana" w:cstheme="minorHAnsi"/>
          <w:sz w:val="20"/>
          <w:szCs w:val="20"/>
          <w:lang w:eastAsia="pl-PL"/>
        </w:rPr>
        <w:t>doprowadzenie terenu wokół wykonanych urządzeń do stanu przewidzianego w dokumentacji projektowej lub według zaleceń Inżyniera,</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 xml:space="preserve">• </w:t>
      </w:r>
      <w:r>
        <w:rPr>
          <w:rFonts w:cs="Calibri" w:ascii="Verdana" w:hAnsi="Verdana" w:cstheme="minorHAnsi"/>
          <w:sz w:val="20"/>
          <w:szCs w:val="20"/>
          <w:lang w:eastAsia="pl-PL"/>
        </w:rPr>
        <w:t>przeprowadzenie badań i pomiarów kontrolnych.</w:t>
      </w:r>
    </w:p>
    <w:p>
      <w:pPr>
        <w:pStyle w:val="Normal"/>
        <w:jc w:val="both"/>
        <w:rPr>
          <w:rFonts w:ascii="Verdana" w:hAnsi="Verdana" w:cs="Calibri" w:cstheme="minorHAnsi"/>
          <w:sz w:val="20"/>
          <w:szCs w:val="20"/>
          <w:lang w:eastAsia="pl-PL"/>
        </w:rPr>
      </w:pPr>
      <w:r>
        <w:rPr>
          <w:rFonts w:cs="Calibri" w:cstheme="minorHAnsi" w:ascii="Verdana" w:hAnsi="Verdana"/>
          <w:sz w:val="20"/>
          <w:szCs w:val="20"/>
          <w:lang w:eastAsia="pl-PL"/>
        </w:rPr>
      </w:r>
    </w:p>
    <w:p>
      <w:pPr>
        <w:pStyle w:val="Normal"/>
        <w:jc w:val="both"/>
        <w:rPr>
          <w:rFonts w:ascii="Verdana" w:hAnsi="Verdana" w:cs="Calibri" w:cstheme="minorHAnsi"/>
          <w:b/>
          <w:b/>
          <w:sz w:val="20"/>
          <w:szCs w:val="20"/>
          <w:lang w:eastAsia="pl-PL"/>
        </w:rPr>
      </w:pPr>
      <w:r>
        <w:rPr>
          <w:rFonts w:cs="Calibri" w:ascii="Verdana" w:hAnsi="Verdana" w:cstheme="minorHAnsi"/>
          <w:b/>
          <w:sz w:val="20"/>
          <w:szCs w:val="20"/>
          <w:lang w:eastAsia="pl-PL"/>
        </w:rPr>
        <w:t>10. PRZEPISY ZWIĄZANE</w:t>
      </w:r>
    </w:p>
    <w:p>
      <w:pPr>
        <w:pStyle w:val="Normal"/>
        <w:jc w:val="both"/>
        <w:rPr>
          <w:rFonts w:ascii="Verdana" w:hAnsi="Verdana" w:cs="Calibri" w:cstheme="minorHAnsi"/>
          <w:b/>
          <w:b/>
          <w:sz w:val="20"/>
          <w:szCs w:val="20"/>
          <w:lang w:eastAsia="pl-PL"/>
        </w:rPr>
      </w:pPr>
      <w:r>
        <w:rPr>
          <w:rFonts w:cs="Calibri" w:ascii="Verdana" w:hAnsi="Verdana" w:cstheme="minorHAnsi"/>
          <w:b/>
          <w:sz w:val="20"/>
          <w:szCs w:val="20"/>
          <w:lang w:eastAsia="pl-PL"/>
        </w:rPr>
        <w:t>10.1. Normy</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 xml:space="preserve">• </w:t>
      </w:r>
      <w:r>
        <w:rPr>
          <w:rFonts w:cs="Calibri" w:ascii="Verdana" w:hAnsi="Verdana" w:cstheme="minorHAnsi"/>
          <w:sz w:val="20"/>
          <w:szCs w:val="20"/>
          <w:lang w:eastAsia="pl-PL"/>
        </w:rPr>
        <w:t>PN-B-03264 Konstrukcje żelbetowe. Obliczenia statyczne i projektowanie</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 xml:space="preserve">• </w:t>
      </w:r>
      <w:r>
        <w:rPr>
          <w:rFonts w:cs="Calibri" w:ascii="Verdana" w:hAnsi="Verdana" w:cstheme="minorHAnsi"/>
          <w:sz w:val="20"/>
          <w:szCs w:val="20"/>
          <w:lang w:eastAsia="pl-PL"/>
        </w:rPr>
        <w:t>PN-H-04651 Ochrona przed korozją. Klasyfikacja i określenie agresywności korozyjnej</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środowisk</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 xml:space="preserve">• </w:t>
      </w:r>
      <w:r>
        <w:rPr>
          <w:rFonts w:cs="Calibri" w:ascii="Verdana" w:hAnsi="Verdana" w:cstheme="minorHAnsi"/>
          <w:sz w:val="20"/>
          <w:szCs w:val="20"/>
          <w:lang w:eastAsia="pl-PL"/>
        </w:rPr>
        <w:t>BN-73/0658-01 Rury stalowe profilowe ciągnione na zimno. Wymiary</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 xml:space="preserve">• </w:t>
      </w:r>
      <w:r>
        <w:rPr>
          <w:rFonts w:cs="Calibri" w:ascii="Verdana" w:hAnsi="Verdana" w:cstheme="minorHAnsi"/>
          <w:sz w:val="20"/>
          <w:szCs w:val="20"/>
          <w:lang w:eastAsia="pl-PL"/>
        </w:rPr>
        <w:t>PN-H-74220 Rury stalowe bez szwu ciągnione i walcowane na zimno ogólnego</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przeznaczenia</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Specyfikacja techniczna wykonania i odbioru robót budowlanych – branża drogowa</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D-07.06.02 Urządzenia zabezpieczające ruch pieszych</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322</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Rozbudowa drogi powiatowej nr 2401P Dopiewo – Poznań w m. Skórzewo od ul. Malwowej do ul. Zakręt – Etap I</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 xml:space="preserve">• </w:t>
      </w:r>
      <w:r>
        <w:rPr>
          <w:rFonts w:cs="Calibri" w:ascii="Verdana" w:hAnsi="Verdana" w:cstheme="minorHAnsi"/>
          <w:sz w:val="20"/>
          <w:szCs w:val="20"/>
          <w:lang w:eastAsia="pl-PL"/>
        </w:rPr>
        <w:t>PN-H-84018 Stal niskostopowa o podwyższonej wytrzymałości. Gatunki</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 xml:space="preserve">• </w:t>
      </w:r>
      <w:r>
        <w:rPr>
          <w:rFonts w:cs="Calibri" w:ascii="Verdana" w:hAnsi="Verdana" w:cstheme="minorHAnsi"/>
          <w:sz w:val="20"/>
          <w:szCs w:val="20"/>
          <w:lang w:eastAsia="pl-PL"/>
        </w:rPr>
        <w:t>PN-H-84019 Stal węglowa konstrukcyjna wyższej jakości ogólnego przeznaczenia.</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Gatunki</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 xml:space="preserve">• </w:t>
      </w:r>
      <w:r>
        <w:rPr>
          <w:rFonts w:cs="Calibri" w:ascii="Verdana" w:hAnsi="Verdana" w:cstheme="minorHAnsi"/>
          <w:sz w:val="20"/>
          <w:szCs w:val="20"/>
          <w:lang w:eastAsia="pl-PL"/>
        </w:rPr>
        <w:t>PN-H-84020 Stal niestopowa konstrukcyjna ogólnego przeznaczenia. Gatunki</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 xml:space="preserve">• </w:t>
      </w:r>
      <w:r>
        <w:rPr>
          <w:rFonts w:cs="Calibri" w:ascii="Verdana" w:hAnsi="Verdana" w:cstheme="minorHAnsi"/>
          <w:sz w:val="20"/>
          <w:szCs w:val="20"/>
          <w:lang w:eastAsia="pl-PL"/>
        </w:rPr>
        <w:t>PN-H-84023-07 Stal określonego zastosowania. Stal na rury</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 xml:space="preserve">• </w:t>
      </w:r>
      <w:r>
        <w:rPr>
          <w:rFonts w:cs="Calibri" w:ascii="Verdana" w:hAnsi="Verdana" w:cstheme="minorHAnsi"/>
          <w:sz w:val="20"/>
          <w:szCs w:val="20"/>
          <w:lang w:eastAsia="pl-PL"/>
        </w:rPr>
        <w:t>PN-H-84030-02 Stal stopowa konstrukcyjna. Stal do nawęglania. Gatunki</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 xml:space="preserve">• </w:t>
      </w:r>
      <w:r>
        <w:rPr>
          <w:rFonts w:cs="Calibri" w:ascii="Verdana" w:hAnsi="Verdana" w:cstheme="minorHAnsi"/>
          <w:sz w:val="20"/>
          <w:szCs w:val="20"/>
          <w:lang w:eastAsia="pl-PL"/>
        </w:rPr>
        <w:t>PN-EN ISO 1461:2011 Powłoki cynkowe nanoszone na stal metodą zanurzeniową</w:t>
      </w:r>
    </w:p>
    <w:p>
      <w:pPr>
        <w:pStyle w:val="Normal"/>
        <w:jc w:val="both"/>
        <w:rPr>
          <w:rFonts w:ascii="Verdana" w:hAnsi="Verdana" w:cs="Calibri" w:cstheme="minorHAnsi"/>
          <w:sz w:val="20"/>
          <w:szCs w:val="20"/>
          <w:lang w:eastAsia="pl-PL"/>
        </w:rPr>
      </w:pPr>
      <w:r>
        <w:rPr>
          <w:rFonts w:cs="Calibri" w:ascii="Verdana" w:hAnsi="Verdana" w:cstheme="minorHAnsi"/>
          <w:sz w:val="20"/>
          <w:szCs w:val="20"/>
          <w:lang w:eastAsia="pl-PL"/>
        </w:rPr>
        <w:t>(cynkowanie jednostkowe). Wymagania i badania</w:t>
      </w:r>
    </w:p>
    <w:p>
      <w:pPr>
        <w:pStyle w:val="Normal"/>
        <w:jc w:val="both"/>
        <w:rPr>
          <w:rFonts w:ascii="Verdana" w:hAnsi="Verdana" w:cs="Calibri" w:cstheme="minorHAnsi"/>
          <w:sz w:val="20"/>
          <w:szCs w:val="20"/>
        </w:rPr>
      </w:pPr>
      <w:r>
        <w:rPr>
          <w:rFonts w:cs="Calibri" w:ascii="Verdana" w:hAnsi="Verdana" w:cstheme="minorHAnsi"/>
          <w:sz w:val="20"/>
          <w:szCs w:val="20"/>
          <w:lang w:eastAsia="pl-PL"/>
        </w:rPr>
        <w:t xml:space="preserve">• </w:t>
      </w:r>
      <w:r>
        <w:rPr>
          <w:rFonts w:cs="Calibri" w:ascii="Verdana" w:hAnsi="Verdana" w:cstheme="minorHAnsi"/>
          <w:sz w:val="20"/>
          <w:szCs w:val="20"/>
          <w:lang w:eastAsia="pl-PL"/>
        </w:rPr>
        <w:t>PN-EN 206-1:2003 Beton. Część 1: Wymagania, właściwości, produkcja i zgodność</w:t>
      </w:r>
    </w:p>
    <w:p>
      <w:pPr>
        <w:pStyle w:val="Normal"/>
        <w:tabs>
          <w:tab w:val="clear" w:pos="708"/>
          <w:tab w:val="left" w:pos="31680" w:leader="none"/>
        </w:tabs>
        <w:jc w:val="both"/>
        <w:rPr>
          <w:rFonts w:ascii="Verdana" w:hAnsi="Verdana" w:cs="Calibri" w:cstheme="minorHAnsi"/>
          <w:b/>
          <w:b/>
          <w:sz w:val="20"/>
          <w:szCs w:val="20"/>
        </w:rPr>
      </w:pPr>
      <w:r>
        <w:rPr>
          <w:rFonts w:cs="Calibri" w:cstheme="minorHAnsi" w:ascii="Verdana" w:hAnsi="Verdana"/>
          <w:b/>
          <w:sz w:val="20"/>
          <w:szCs w:val="20"/>
        </w:rPr>
      </w:r>
    </w:p>
    <w:p>
      <w:pPr>
        <w:pStyle w:val="Normal"/>
        <w:rPr>
          <w:rFonts w:ascii="Verdana" w:hAnsi="Verdana" w:cs="Calibri" w:cstheme="minorHAnsi"/>
          <w:b/>
          <w:b/>
          <w:sz w:val="20"/>
          <w:szCs w:val="20"/>
        </w:rPr>
      </w:pPr>
      <w:r>
        <w:rPr/>
      </w:r>
    </w:p>
    <w:sectPr>
      <w:headerReference w:type="default" r:id="rId2"/>
      <w:type w:val="nextPage"/>
      <w:pgSz w:w="11906" w:h="16838"/>
      <w:pgMar w:left="1417" w:right="1417" w:header="708" w:top="1247" w:footer="0" w:bottom="141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Cambria">
    <w:charset w:val="ee"/>
    <w:family w:val="roman"/>
    <w:pitch w:val="variable"/>
  </w:font>
  <w:font w:name="Calibri Light">
    <w:charset w:val="ee"/>
    <w:family w:val="roman"/>
    <w:pitch w:val="variable"/>
  </w:font>
  <w:font w:name="Tahoma">
    <w:charset w:val="ee"/>
    <w:family w:val="roman"/>
    <w:pitch w:val="variable"/>
  </w:font>
  <w:font w:name="Liberation Sans">
    <w:altName w:val="Arial"/>
    <w:charset w:val="ee"/>
    <w:family w:val="swiss"/>
    <w:pitch w:val="variable"/>
  </w:font>
  <w:font w:name="Bookman Old Style">
    <w:charset w:val="ee"/>
    <w:family w:val="roman"/>
    <w:pitch w:val="variable"/>
  </w:font>
  <w:font w:name="Verdana">
    <w:charset w:val="ee"/>
    <w:family w:val="roman"/>
    <w:pitch w:val="variable"/>
  </w:font>
  <w:font w:name="Arial">
    <w:charset w:val="01"/>
    <w:family w:val="swiss"/>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rFonts w:ascii="Verdana" w:hAnsi="Verdana"/>
        <w:sz w:val="20"/>
        <w:szCs w:val="20"/>
      </w:rPr>
    </w:pPr>
    <w:r>
      <w:rPr>
        <w:rFonts w:ascii="Verdana" w:hAnsi="Verdana"/>
        <w:sz w:val="20"/>
        <w:szCs w:val="20"/>
        <w:u w:val="single"/>
      </w:rPr>
      <w:t xml:space="preserve">SZCZEGÓŁOWA SPECYFIKACJA TECHNICZNA  </w:t>
      <w:tab/>
      <w:t>D.07.06.02</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lvl w:ilvl="0">
      <w:start w:val="1"/>
      <w:numFmt w:val="bullet"/>
      <w:lvlText w:val=""/>
      <w:lvlJc w:val="left"/>
      <w:pPr>
        <w:tabs>
          <w:tab w:val="num" w:pos="666"/>
        </w:tabs>
        <w:ind w:left="666"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62bb0"/>
    <w:pPr>
      <w:widowControl/>
      <w:bidi w:val="0"/>
      <w:spacing w:lineRule="auto" w:line="240" w:before="0" w:after="0"/>
      <w:jc w:val="left"/>
    </w:pPr>
    <w:rPr>
      <w:rFonts w:ascii="Times New Roman" w:hAnsi="Times New Roman" w:eastAsia="SimSun" w:cs="Times New Roman"/>
      <w:color w:val="auto"/>
      <w:kern w:val="0"/>
      <w:sz w:val="24"/>
      <w:szCs w:val="24"/>
      <w:lang w:eastAsia="zh-CN" w:val="pl-PL" w:bidi="ar-SA"/>
    </w:rPr>
  </w:style>
  <w:style w:type="paragraph" w:styleId="Nagwek1">
    <w:name w:val="Heading 1"/>
    <w:basedOn w:val="Normal"/>
    <w:next w:val="Normal"/>
    <w:link w:val="Nagwek1Znak"/>
    <w:uiPriority w:val="9"/>
    <w:qFormat/>
    <w:rsid w:val="007d3e07"/>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Nagwek2">
    <w:name w:val="Heading 2"/>
    <w:basedOn w:val="Normal"/>
    <w:next w:val="Normal"/>
    <w:link w:val="Nagwek2Znak"/>
    <w:qFormat/>
    <w:rsid w:val="00f62bb0"/>
    <w:pPr>
      <w:keepNext w:val="true"/>
      <w:spacing w:before="240" w:after="60"/>
      <w:outlineLvl w:val="1"/>
    </w:pPr>
    <w:rPr>
      <w:rFonts w:ascii="Calibri Light" w:hAnsi="Calibri Light" w:eastAsia="Times New Roman"/>
      <w:b/>
      <w:bCs/>
      <w:i/>
      <w:iCs/>
      <w:sz w:val="28"/>
      <w:szCs w:val="28"/>
    </w:rPr>
  </w:style>
  <w:style w:type="character" w:styleId="DefaultParagraphFont" w:default="1">
    <w:name w:val="Default Paragraph Font"/>
    <w:uiPriority w:val="1"/>
    <w:semiHidden/>
    <w:unhideWhenUsed/>
    <w:qFormat/>
    <w:rPr/>
  </w:style>
  <w:style w:type="character" w:styleId="Nagwek2Znak" w:customStyle="1">
    <w:name w:val="Nagłówek 2 Znak"/>
    <w:basedOn w:val="DefaultParagraphFont"/>
    <w:link w:val="Nagwek2"/>
    <w:qFormat/>
    <w:rsid w:val="00f62bb0"/>
    <w:rPr>
      <w:rFonts w:ascii="Calibri Light" w:hAnsi="Calibri Light" w:eastAsia="Times New Roman" w:cs="Times New Roman"/>
      <w:b/>
      <w:bCs/>
      <w:i/>
      <w:iCs/>
      <w:sz w:val="28"/>
      <w:szCs w:val="28"/>
      <w:lang w:eastAsia="zh-CN"/>
    </w:rPr>
  </w:style>
  <w:style w:type="character" w:styleId="BezodstpwZnak" w:customStyle="1">
    <w:name w:val="Bez odstępów Znak"/>
    <w:basedOn w:val="DefaultParagraphFont"/>
    <w:link w:val="Bezodstpw"/>
    <w:uiPriority w:val="1"/>
    <w:qFormat/>
    <w:rsid w:val="00f62bb0"/>
    <w:rPr>
      <w:rFonts w:ascii="Times New Roman" w:hAnsi="Times New Roman" w:eastAsia="Times New Roman" w:cs="Times New Roman"/>
      <w:sz w:val="24"/>
      <w:szCs w:val="24"/>
      <w:lang w:eastAsia="pl-PL"/>
    </w:rPr>
  </w:style>
  <w:style w:type="character" w:styleId="NagwekZnak" w:customStyle="1">
    <w:name w:val="Nagłówek Znak"/>
    <w:basedOn w:val="DefaultParagraphFont"/>
    <w:link w:val="Nagwek"/>
    <w:uiPriority w:val="99"/>
    <w:qFormat/>
    <w:rsid w:val="00ca3cb3"/>
    <w:rPr>
      <w:rFonts w:ascii="Times New Roman" w:hAnsi="Times New Roman" w:eastAsia="SimSun" w:cs="Times New Roman"/>
      <w:sz w:val="24"/>
      <w:szCs w:val="24"/>
      <w:lang w:eastAsia="zh-CN"/>
    </w:rPr>
  </w:style>
  <w:style w:type="character" w:styleId="StopkaZnak" w:customStyle="1">
    <w:name w:val="Stopka Znak"/>
    <w:basedOn w:val="DefaultParagraphFont"/>
    <w:link w:val="Stopka"/>
    <w:uiPriority w:val="99"/>
    <w:qFormat/>
    <w:rsid w:val="00ca3cb3"/>
    <w:rPr>
      <w:rFonts w:ascii="Times New Roman" w:hAnsi="Times New Roman" w:eastAsia="SimSun" w:cs="Times New Roman"/>
      <w:sz w:val="24"/>
      <w:szCs w:val="24"/>
      <w:lang w:eastAsia="zh-CN"/>
    </w:rPr>
  </w:style>
  <w:style w:type="character" w:styleId="Nagwek1Znak" w:customStyle="1">
    <w:name w:val="Nagłówek 1 Znak"/>
    <w:basedOn w:val="DefaultParagraphFont"/>
    <w:link w:val="Nagwek1"/>
    <w:uiPriority w:val="9"/>
    <w:qFormat/>
    <w:rsid w:val="007d3e07"/>
    <w:rPr>
      <w:rFonts w:ascii="Cambria" w:hAnsi="Cambria" w:eastAsia="" w:cs="" w:asciiTheme="majorHAnsi" w:cstheme="majorBidi" w:eastAsiaTheme="majorEastAsia" w:hAnsiTheme="majorHAnsi"/>
      <w:b/>
      <w:bCs/>
      <w:color w:val="365F91" w:themeColor="accent1" w:themeShade="bf"/>
      <w:sz w:val="28"/>
      <w:szCs w:val="28"/>
      <w:lang w:eastAsia="zh-CN"/>
    </w:rPr>
  </w:style>
  <w:style w:type="character" w:styleId="TekstpodstawowyZnak" w:customStyle="1">
    <w:name w:val="Tekst podstawowy Znak"/>
    <w:basedOn w:val="DefaultParagraphFont"/>
    <w:link w:val="Tekstpodstawowy"/>
    <w:qFormat/>
    <w:rsid w:val="00e54766"/>
    <w:rPr>
      <w:rFonts w:ascii="Times New Roman" w:hAnsi="Times New Roman" w:eastAsia="Times New Roman" w:cs="Times New Roman"/>
      <w:sz w:val="24"/>
      <w:szCs w:val="20"/>
      <w:lang w:eastAsia="zh-CN"/>
    </w:rPr>
  </w:style>
  <w:style w:type="character" w:styleId="Tekstpodstawowywcity3Znak" w:customStyle="1">
    <w:name w:val="Tekst podstawowy wcięty 3 Znak"/>
    <w:basedOn w:val="DefaultParagraphFont"/>
    <w:link w:val="Tekstpodstawowywcity3"/>
    <w:qFormat/>
    <w:rsid w:val="00e54766"/>
    <w:rPr>
      <w:rFonts w:ascii="Times New Roman" w:hAnsi="Times New Roman" w:eastAsia="SimSun" w:cs="Times New Roman"/>
      <w:sz w:val="16"/>
      <w:szCs w:val="16"/>
      <w:lang w:eastAsia="zh-CN"/>
    </w:rPr>
  </w:style>
  <w:style w:type="character" w:styleId="Header1" w:customStyle="1">
    <w:name w:val="header1"/>
    <w:qFormat/>
    <w:rsid w:val="00e54766"/>
    <w:rPr>
      <w:rFonts w:ascii="Times New Roman" w:hAnsi="Times New Roman"/>
      <w:b/>
      <w:sz w:val="36"/>
    </w:rPr>
  </w:style>
  <w:style w:type="character" w:styleId="Styl2Znak" w:customStyle="1">
    <w:name w:val="Styl2 Znak"/>
    <w:link w:val="Styl2"/>
    <w:qFormat/>
    <w:rsid w:val="00e54766"/>
    <w:rPr>
      <w:rFonts w:ascii="Times New Roman" w:hAnsi="Times New Roman" w:eastAsia="Times New Roman" w:cs="Times New Roman"/>
      <w:b/>
      <w:lang w:eastAsia="zh-CN"/>
    </w:rPr>
  </w:style>
  <w:style w:type="character" w:styleId="TekstdymkaZnak" w:customStyle="1">
    <w:name w:val="Tekst dymka Znak"/>
    <w:basedOn w:val="DefaultParagraphFont"/>
    <w:link w:val="Tekstdymka"/>
    <w:uiPriority w:val="99"/>
    <w:semiHidden/>
    <w:qFormat/>
    <w:rsid w:val="00e54766"/>
    <w:rPr>
      <w:rFonts w:ascii="Tahoma" w:hAnsi="Tahoma" w:eastAsia="SimSun" w:cs="Tahoma"/>
      <w:sz w:val="16"/>
      <w:szCs w:val="16"/>
      <w:lang w:eastAsia="zh-CN"/>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rsid w:val="00e54766"/>
    <w:pPr>
      <w:tabs>
        <w:tab w:val="clear" w:pos="708"/>
        <w:tab w:val="left" w:pos="851" w:leader="none"/>
        <w:tab w:val="left" w:pos="5103" w:leader="none"/>
      </w:tabs>
      <w:jc w:val="both"/>
    </w:pPr>
    <w:rPr>
      <w:rFonts w:eastAsia="Times New Roman"/>
      <w:szCs w:val="20"/>
    </w:rPr>
  </w:style>
  <w:style w:type="paragraph" w:styleId="Lista">
    <w:name w:val="List"/>
    <w:basedOn w:val="Tretekstu"/>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NoSpacing">
    <w:name w:val="No Spacing"/>
    <w:link w:val="BezodstpwZnak"/>
    <w:uiPriority w:val="1"/>
    <w:qFormat/>
    <w:rsid w:val="00f62bb0"/>
    <w:pPr>
      <w:widowControl/>
      <w:bidi w:val="0"/>
      <w:spacing w:lineRule="auto" w:line="240" w:before="0" w:after="0"/>
      <w:jc w:val="left"/>
    </w:pPr>
    <w:rPr>
      <w:rFonts w:ascii="Times New Roman" w:hAnsi="Times New Roman" w:eastAsia="Times New Roman" w:cs="Times New Roman"/>
      <w:color w:val="auto"/>
      <w:kern w:val="0"/>
      <w:sz w:val="24"/>
      <w:szCs w:val="24"/>
      <w:lang w:eastAsia="pl-PL" w:val="pl-PL" w:bidi="ar-SA"/>
    </w:rPr>
  </w:style>
  <w:style w:type="paragraph" w:styleId="Gwkaistopka">
    <w:name w:val="Główka i stopka"/>
    <w:basedOn w:val="Normal"/>
    <w:qFormat/>
    <w:pPr/>
    <w:rPr/>
  </w:style>
  <w:style w:type="paragraph" w:styleId="Gwka">
    <w:name w:val="Header"/>
    <w:basedOn w:val="Normal"/>
    <w:link w:val="NagwekZnak"/>
    <w:uiPriority w:val="99"/>
    <w:unhideWhenUsed/>
    <w:rsid w:val="00ca3cb3"/>
    <w:pPr>
      <w:tabs>
        <w:tab w:val="clear" w:pos="708"/>
        <w:tab w:val="center" w:pos="4536" w:leader="none"/>
        <w:tab w:val="right" w:pos="9072" w:leader="none"/>
      </w:tabs>
    </w:pPr>
    <w:rPr/>
  </w:style>
  <w:style w:type="paragraph" w:styleId="Stopka">
    <w:name w:val="Footer"/>
    <w:basedOn w:val="Normal"/>
    <w:link w:val="StopkaZnak"/>
    <w:uiPriority w:val="99"/>
    <w:unhideWhenUsed/>
    <w:rsid w:val="00ca3cb3"/>
    <w:pPr>
      <w:tabs>
        <w:tab w:val="clear" w:pos="708"/>
        <w:tab w:val="center" w:pos="4536" w:leader="none"/>
        <w:tab w:val="right" w:pos="9072" w:leader="none"/>
      </w:tabs>
    </w:pPr>
    <w:rPr/>
  </w:style>
  <w:style w:type="paragraph" w:styleId="Tekstpodstawowywcity31" w:customStyle="1">
    <w:name w:val="Tekst podstawowy wcięty 31"/>
    <w:basedOn w:val="Normal"/>
    <w:qFormat/>
    <w:rsid w:val="007d3e07"/>
    <w:pPr>
      <w:widowControl w:val="false"/>
      <w:tabs>
        <w:tab w:val="clear" w:pos="708"/>
        <w:tab w:val="right" w:pos="-1368" w:leader="none"/>
        <w:tab w:val="left" w:pos="-677" w:leader="none"/>
      </w:tabs>
      <w:ind w:left="709" w:hanging="0"/>
    </w:pPr>
    <w:rPr>
      <w:rFonts w:eastAsia="Times New Roman"/>
      <w:szCs w:val="20"/>
      <w:lang w:eastAsia="pl-PL"/>
    </w:rPr>
  </w:style>
  <w:style w:type="paragraph" w:styleId="BodyTextIndent3">
    <w:name w:val="Body Text Indent 3"/>
    <w:basedOn w:val="Normal"/>
    <w:link w:val="Tekstpodstawowywcity3Znak"/>
    <w:qFormat/>
    <w:rsid w:val="00e54766"/>
    <w:pPr>
      <w:spacing w:before="0" w:after="120"/>
      <w:ind w:left="283" w:hanging="0"/>
    </w:pPr>
    <w:rPr>
      <w:sz w:val="16"/>
      <w:szCs w:val="16"/>
    </w:rPr>
  </w:style>
  <w:style w:type="paragraph" w:styleId="StylIwony" w:customStyle="1">
    <w:name w:val="Styl Iwony"/>
    <w:basedOn w:val="Normal"/>
    <w:qFormat/>
    <w:rsid w:val="00e54766"/>
    <w:pPr>
      <w:spacing w:before="120" w:after="120"/>
      <w:jc w:val="both"/>
    </w:pPr>
    <w:rPr>
      <w:rFonts w:ascii="Bookman Old Style" w:hAnsi="Bookman Old Style" w:eastAsia="Times New Roman"/>
      <w:szCs w:val="20"/>
      <w:lang w:eastAsia="pl-PL"/>
    </w:rPr>
  </w:style>
  <w:style w:type="paragraph" w:styleId="Styl2" w:customStyle="1">
    <w:name w:val="Styl2"/>
    <w:basedOn w:val="Normal"/>
    <w:link w:val="Styl2Znak"/>
    <w:qFormat/>
    <w:rsid w:val="00e54766"/>
    <w:pPr>
      <w:keepNext w:val="true"/>
      <w:overflowPunct w:val="true"/>
      <w:spacing w:before="120" w:after="120"/>
      <w:jc w:val="both"/>
      <w:outlineLvl w:val="1"/>
    </w:pPr>
    <w:rPr>
      <w:rFonts w:eastAsia="Times New Roman"/>
      <w:b/>
      <w:sz w:val="22"/>
      <w:szCs w:val="22"/>
    </w:rPr>
  </w:style>
  <w:style w:type="paragraph" w:styleId="BalloonText">
    <w:name w:val="Balloon Text"/>
    <w:basedOn w:val="Normal"/>
    <w:link w:val="TekstdymkaZnak"/>
    <w:uiPriority w:val="99"/>
    <w:semiHidden/>
    <w:unhideWhenUsed/>
    <w:qFormat/>
    <w:rsid w:val="00e54766"/>
    <w:pPr/>
    <w:rPr>
      <w:rFonts w:ascii="Tahoma" w:hAnsi="Tahoma" w:cs="Tahoma"/>
      <w:sz w:val="16"/>
      <w:szCs w:val="16"/>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Application>LibreOffice/7.0.0.3$Windows_X86_64 LibreOffice_project/8061b3e9204bef6b321a21033174034a5e2ea88e</Application>
  <Pages>5</Pages>
  <Words>1154</Words>
  <Characters>7613</Characters>
  <CharactersWithSpaces>8663</CharactersWithSpaces>
  <Paragraphs>116</Paragraphs>
  <Company>Skanska S.A.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2020-05-18T08:55:00Z</dcterms:created>
  <dc:creator>BorowczykM</dc:creator>
  <dc:description/>
  <dc:language>pl-PL</dc:language>
  <cp:lastModifiedBy/>
  <cp:lastPrinted>2016-12-06T23:21:00Z</cp:lastPrinted>
  <dcterms:modified xsi:type="dcterms:W3CDTF">2022-02-15T17:46:31Z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Skanska S.A.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